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E2CA2" w14:textId="77777777" w:rsidR="00E524F9" w:rsidRPr="00F44C00" w:rsidRDefault="00E524F9" w:rsidP="00E524F9">
      <w:pPr>
        <w:jc w:val="center"/>
        <w:rPr>
          <w:rFonts w:ascii="Times New Roman" w:hAnsi="Times New Roman" w:cs="Times New Roman"/>
          <w:b/>
          <w:sz w:val="24"/>
          <w:szCs w:val="24"/>
        </w:rPr>
      </w:pPr>
      <w:r w:rsidRPr="00F44C00">
        <w:rPr>
          <w:rFonts w:ascii="Times New Roman" w:hAnsi="Times New Roman" w:cs="Times New Roman"/>
          <w:b/>
          <w:sz w:val="24"/>
          <w:szCs w:val="24"/>
        </w:rPr>
        <w:t>ASSEMBLEA DEGLI OSSERVATORI PER LA GIUSTIZIA CIVILE</w:t>
      </w:r>
    </w:p>
    <w:p w14:paraId="79895DE5" w14:textId="174FB126" w:rsidR="00E524F9" w:rsidRPr="00F44C00" w:rsidRDefault="00E524F9" w:rsidP="00B21EA8">
      <w:pPr>
        <w:jc w:val="center"/>
        <w:rPr>
          <w:rFonts w:ascii="Times New Roman" w:hAnsi="Times New Roman" w:cs="Times New Roman"/>
          <w:b/>
          <w:sz w:val="24"/>
          <w:szCs w:val="24"/>
        </w:rPr>
      </w:pPr>
      <w:r w:rsidRPr="00F44C00">
        <w:rPr>
          <w:rFonts w:ascii="Times New Roman" w:hAnsi="Times New Roman" w:cs="Times New Roman"/>
          <w:b/>
          <w:sz w:val="24"/>
          <w:szCs w:val="24"/>
        </w:rPr>
        <w:t>Reggio Calabria 7-9 giugno 2019</w:t>
      </w:r>
    </w:p>
    <w:p w14:paraId="3AF50517" w14:textId="674BBAAC" w:rsidR="00E524F9" w:rsidRPr="00F44C00" w:rsidRDefault="00E524F9" w:rsidP="00B21EA8">
      <w:pPr>
        <w:jc w:val="center"/>
        <w:rPr>
          <w:rFonts w:ascii="Times New Roman" w:hAnsi="Times New Roman" w:cs="Times New Roman"/>
          <w:b/>
          <w:sz w:val="24"/>
          <w:szCs w:val="24"/>
        </w:rPr>
      </w:pPr>
      <w:r w:rsidRPr="00F44C00">
        <w:rPr>
          <w:rFonts w:ascii="Times New Roman" w:hAnsi="Times New Roman" w:cs="Times New Roman"/>
          <w:b/>
          <w:sz w:val="24"/>
          <w:szCs w:val="24"/>
        </w:rPr>
        <w:t>GRUPPO PROTEZIONE INTERNAZIONALE</w:t>
      </w:r>
    </w:p>
    <w:p w14:paraId="5F4542D8" w14:textId="77777777" w:rsidR="00B21EA8" w:rsidRPr="00F44C00" w:rsidRDefault="00B21EA8" w:rsidP="00B21EA8">
      <w:pPr>
        <w:jc w:val="center"/>
        <w:rPr>
          <w:rFonts w:ascii="Times New Roman" w:hAnsi="Times New Roman" w:cs="Times New Roman"/>
          <w:sz w:val="24"/>
          <w:szCs w:val="24"/>
        </w:rPr>
      </w:pPr>
    </w:p>
    <w:p w14:paraId="64D123B6" w14:textId="37A52CF9" w:rsidR="00E524F9" w:rsidRPr="00F44C00" w:rsidRDefault="001118F9" w:rsidP="00CF3792">
      <w:pPr>
        <w:pStyle w:val="Paragrafoelenco"/>
        <w:numPr>
          <w:ilvl w:val="0"/>
          <w:numId w:val="7"/>
        </w:numPr>
        <w:ind w:left="993" w:hanging="142"/>
        <w:rPr>
          <w:rFonts w:ascii="Times New Roman" w:hAnsi="Times New Roman" w:cs="Times New Roman"/>
          <w:b/>
          <w:sz w:val="24"/>
          <w:szCs w:val="24"/>
        </w:rPr>
      </w:pPr>
      <w:r w:rsidRPr="00F44C00">
        <w:rPr>
          <w:rFonts w:ascii="Times New Roman" w:hAnsi="Times New Roman" w:cs="Times New Roman"/>
          <w:b/>
          <w:sz w:val="24"/>
          <w:szCs w:val="24"/>
        </w:rPr>
        <w:t>L’abrogazione del permesso di soggiorno per motivi umanitari</w:t>
      </w:r>
    </w:p>
    <w:p w14:paraId="4A2FC4CC" w14:textId="77777777" w:rsidR="00CF3792" w:rsidRPr="00F44C00" w:rsidRDefault="00CF3792" w:rsidP="00CF3792">
      <w:pPr>
        <w:pStyle w:val="Paragrafoelenco"/>
        <w:ind w:left="1068"/>
        <w:rPr>
          <w:rFonts w:ascii="Times New Roman" w:hAnsi="Times New Roman" w:cs="Times New Roman"/>
          <w:b/>
          <w:sz w:val="24"/>
          <w:szCs w:val="24"/>
        </w:rPr>
      </w:pPr>
    </w:p>
    <w:p w14:paraId="282147E7" w14:textId="000B3CFF" w:rsidR="00773C72" w:rsidRPr="00F44C00" w:rsidRDefault="00773C72" w:rsidP="00773C72">
      <w:pPr>
        <w:pStyle w:val="Paragrafoelenco"/>
        <w:numPr>
          <w:ilvl w:val="0"/>
          <w:numId w:val="4"/>
        </w:numPr>
        <w:rPr>
          <w:rFonts w:ascii="Times New Roman" w:hAnsi="Times New Roman" w:cs="Times New Roman"/>
          <w:b/>
          <w:sz w:val="24"/>
          <w:szCs w:val="24"/>
        </w:rPr>
      </w:pPr>
      <w:r w:rsidRPr="00F44C00">
        <w:rPr>
          <w:rFonts w:ascii="Times New Roman" w:hAnsi="Times New Roman" w:cs="Times New Roman"/>
          <w:b/>
          <w:sz w:val="24"/>
          <w:szCs w:val="24"/>
        </w:rPr>
        <w:t xml:space="preserve">Premessa </w:t>
      </w:r>
    </w:p>
    <w:p w14:paraId="4653ED96" w14:textId="65E539B6" w:rsidR="00E524F9" w:rsidRPr="00F44C00" w:rsidRDefault="00D8154F" w:rsidP="00773C72">
      <w:pPr>
        <w:ind w:firstLine="708"/>
        <w:jc w:val="both"/>
        <w:rPr>
          <w:rFonts w:ascii="Times New Roman" w:hAnsi="Times New Roman" w:cs="Times New Roman"/>
          <w:sz w:val="24"/>
          <w:szCs w:val="24"/>
        </w:rPr>
      </w:pPr>
      <w:r w:rsidRPr="00F44C00">
        <w:rPr>
          <w:rFonts w:ascii="Times New Roman" w:hAnsi="Times New Roman" w:cs="Times New Roman"/>
          <w:sz w:val="24"/>
          <w:szCs w:val="24"/>
        </w:rPr>
        <w:t xml:space="preserve">La disciplina della protezione internazionale è stata interessata anche nel 2018 da un significativo intervento legislativo che ha aggiunto </w:t>
      </w:r>
      <w:r w:rsidR="00010F51" w:rsidRPr="00F44C00">
        <w:rPr>
          <w:rFonts w:ascii="Times New Roman" w:hAnsi="Times New Roman" w:cs="Times New Roman"/>
          <w:sz w:val="24"/>
          <w:szCs w:val="24"/>
        </w:rPr>
        <w:t>nuove criticità a quelle, numerose, già esistenti.</w:t>
      </w:r>
      <w:r w:rsidR="005666FB" w:rsidRPr="00F44C00">
        <w:rPr>
          <w:rFonts w:ascii="Times New Roman" w:hAnsi="Times New Roman" w:cs="Times New Roman"/>
          <w:sz w:val="24"/>
          <w:szCs w:val="24"/>
        </w:rPr>
        <w:t xml:space="preserve"> </w:t>
      </w:r>
    </w:p>
    <w:p w14:paraId="25E3F075" w14:textId="00A65710" w:rsidR="00F15DD1" w:rsidRPr="00F44C00" w:rsidRDefault="001C4FBC" w:rsidP="00773C72">
      <w:pPr>
        <w:ind w:firstLine="708"/>
        <w:jc w:val="both"/>
        <w:rPr>
          <w:rFonts w:ascii="Times New Roman" w:hAnsi="Times New Roman" w:cs="Times New Roman"/>
          <w:sz w:val="24"/>
          <w:szCs w:val="24"/>
        </w:rPr>
      </w:pPr>
      <w:r w:rsidRPr="00F44C00">
        <w:rPr>
          <w:rFonts w:ascii="Times New Roman" w:hAnsi="Times New Roman" w:cs="Times New Roman"/>
          <w:sz w:val="24"/>
          <w:szCs w:val="24"/>
        </w:rPr>
        <w:t xml:space="preserve">Spicca </w:t>
      </w:r>
      <w:r w:rsidR="00554BB7" w:rsidRPr="00F44C00">
        <w:rPr>
          <w:rFonts w:ascii="Times New Roman" w:hAnsi="Times New Roman" w:cs="Times New Roman"/>
          <w:sz w:val="24"/>
          <w:szCs w:val="24"/>
        </w:rPr>
        <w:t xml:space="preserve">l’abrogazione del permesso di soggiorno per motivi umanitari </w:t>
      </w:r>
      <w:r w:rsidRPr="00F44C00">
        <w:rPr>
          <w:rFonts w:ascii="Times New Roman" w:hAnsi="Times New Roman" w:cs="Times New Roman"/>
          <w:sz w:val="24"/>
          <w:szCs w:val="24"/>
        </w:rPr>
        <w:t>che</w:t>
      </w:r>
      <w:r w:rsidR="00EC6289" w:rsidRPr="00F44C00">
        <w:rPr>
          <w:rFonts w:ascii="Times New Roman" w:hAnsi="Times New Roman" w:cs="Times New Roman"/>
          <w:sz w:val="24"/>
          <w:szCs w:val="24"/>
        </w:rPr>
        <w:t>,</w:t>
      </w:r>
      <w:r w:rsidR="0053500D" w:rsidRPr="00F44C00">
        <w:rPr>
          <w:rFonts w:ascii="Times New Roman" w:hAnsi="Times New Roman" w:cs="Times New Roman"/>
          <w:sz w:val="24"/>
          <w:szCs w:val="24"/>
        </w:rPr>
        <w:t xml:space="preserve"> insieme alle due forme di protezione internazionale</w:t>
      </w:r>
      <w:r w:rsidR="00EC6289" w:rsidRPr="00F44C00">
        <w:rPr>
          <w:rFonts w:ascii="Times New Roman" w:hAnsi="Times New Roman" w:cs="Times New Roman"/>
          <w:sz w:val="24"/>
          <w:szCs w:val="24"/>
        </w:rPr>
        <w:t>,</w:t>
      </w:r>
      <w:r w:rsidR="0053500D" w:rsidRPr="00F44C00">
        <w:rPr>
          <w:rFonts w:ascii="Times New Roman" w:hAnsi="Times New Roman" w:cs="Times New Roman"/>
          <w:sz w:val="24"/>
          <w:szCs w:val="24"/>
        </w:rPr>
        <w:t xml:space="preserve"> consentiva di ritenere attuato il diritto di asilo costituzionale, così come riconosciuto </w:t>
      </w:r>
      <w:r w:rsidR="00441172" w:rsidRPr="00F44C00">
        <w:rPr>
          <w:rFonts w:ascii="Times New Roman" w:hAnsi="Times New Roman" w:cs="Times New Roman"/>
          <w:sz w:val="24"/>
          <w:szCs w:val="24"/>
        </w:rPr>
        <w:t>con orientamento costante dalla Corte di Cassazione.</w:t>
      </w:r>
    </w:p>
    <w:p w14:paraId="1DF76E96" w14:textId="7B65BADD" w:rsidR="00681E54" w:rsidRPr="00F44C00" w:rsidRDefault="00681E54" w:rsidP="00681E54">
      <w:pPr>
        <w:pStyle w:val="Paragrafoelenco"/>
        <w:numPr>
          <w:ilvl w:val="0"/>
          <w:numId w:val="4"/>
        </w:numPr>
        <w:jc w:val="both"/>
        <w:rPr>
          <w:rFonts w:ascii="Times New Roman" w:hAnsi="Times New Roman" w:cs="Times New Roman"/>
          <w:b/>
          <w:sz w:val="24"/>
          <w:szCs w:val="24"/>
        </w:rPr>
      </w:pPr>
      <w:r w:rsidRPr="00F44C00">
        <w:rPr>
          <w:rFonts w:ascii="Times New Roman" w:hAnsi="Times New Roman" w:cs="Times New Roman"/>
          <w:b/>
          <w:sz w:val="24"/>
          <w:szCs w:val="24"/>
        </w:rPr>
        <w:t>Il regime intertemporale</w:t>
      </w:r>
    </w:p>
    <w:p w14:paraId="1BEFEF0A" w14:textId="5FDAFB0B" w:rsidR="00D63E94" w:rsidRPr="00F44C00" w:rsidRDefault="003D28E4" w:rsidP="0019556D">
      <w:pPr>
        <w:ind w:firstLine="708"/>
        <w:jc w:val="both"/>
        <w:rPr>
          <w:rFonts w:ascii="Times New Roman" w:hAnsi="Times New Roman" w:cs="Times New Roman"/>
          <w:sz w:val="24"/>
          <w:szCs w:val="24"/>
        </w:rPr>
      </w:pPr>
      <w:r w:rsidRPr="00F44C00">
        <w:rPr>
          <w:rFonts w:ascii="Times New Roman" w:hAnsi="Times New Roman" w:cs="Times New Roman"/>
          <w:sz w:val="24"/>
          <w:szCs w:val="24"/>
        </w:rPr>
        <w:t>Sul regime intertemporale di t</w:t>
      </w:r>
      <w:r w:rsidR="00441172" w:rsidRPr="00F44C00">
        <w:rPr>
          <w:rFonts w:ascii="Times New Roman" w:hAnsi="Times New Roman" w:cs="Times New Roman"/>
          <w:sz w:val="24"/>
          <w:szCs w:val="24"/>
        </w:rPr>
        <w:t xml:space="preserve">ale abrogazione </w:t>
      </w:r>
      <w:r w:rsidRPr="00F44C00">
        <w:rPr>
          <w:rFonts w:ascii="Times New Roman" w:hAnsi="Times New Roman" w:cs="Times New Roman"/>
          <w:sz w:val="24"/>
          <w:szCs w:val="24"/>
        </w:rPr>
        <w:t>gli Osservatori si sono già espressi</w:t>
      </w:r>
      <w:r w:rsidR="00A11723" w:rsidRPr="00F44C00">
        <w:rPr>
          <w:rFonts w:ascii="Times New Roman" w:hAnsi="Times New Roman" w:cs="Times New Roman"/>
          <w:sz w:val="24"/>
          <w:szCs w:val="24"/>
        </w:rPr>
        <w:t xml:space="preserve"> attraverso il documento della riunione interlocutoria tenutasi a Bologna il 1° dicembre 201</w:t>
      </w:r>
      <w:r w:rsidR="00A06298" w:rsidRPr="00F44C00">
        <w:rPr>
          <w:rFonts w:ascii="Times New Roman" w:hAnsi="Times New Roman" w:cs="Times New Roman"/>
          <w:sz w:val="24"/>
          <w:szCs w:val="24"/>
        </w:rPr>
        <w:t>8.</w:t>
      </w:r>
      <w:r w:rsidR="00441172" w:rsidRPr="00F44C00">
        <w:rPr>
          <w:rFonts w:ascii="Times New Roman" w:hAnsi="Times New Roman" w:cs="Times New Roman"/>
          <w:sz w:val="24"/>
          <w:szCs w:val="24"/>
        </w:rPr>
        <w:t xml:space="preserve"> </w:t>
      </w:r>
      <w:r w:rsidR="00C7665C" w:rsidRPr="00F44C00">
        <w:rPr>
          <w:rFonts w:ascii="Times New Roman" w:hAnsi="Times New Roman" w:cs="Times New Roman"/>
          <w:sz w:val="24"/>
          <w:szCs w:val="24"/>
        </w:rPr>
        <w:t xml:space="preserve">A tale documento </w:t>
      </w:r>
      <w:r w:rsidR="002C20C2" w:rsidRPr="00F44C00">
        <w:rPr>
          <w:rFonts w:ascii="Times New Roman" w:hAnsi="Times New Roman" w:cs="Times New Roman"/>
          <w:sz w:val="24"/>
          <w:szCs w:val="24"/>
        </w:rPr>
        <w:t>si rinvia per l</w:t>
      </w:r>
      <w:r w:rsidR="00421C2E" w:rsidRPr="00F44C00">
        <w:rPr>
          <w:rFonts w:ascii="Times New Roman" w:hAnsi="Times New Roman" w:cs="Times New Roman"/>
          <w:sz w:val="24"/>
          <w:szCs w:val="24"/>
        </w:rPr>
        <w:t xml:space="preserve">e </w:t>
      </w:r>
      <w:r w:rsidR="00C7665C" w:rsidRPr="00F44C00">
        <w:rPr>
          <w:rFonts w:ascii="Times New Roman" w:hAnsi="Times New Roman" w:cs="Times New Roman"/>
          <w:sz w:val="24"/>
          <w:szCs w:val="24"/>
        </w:rPr>
        <w:t xml:space="preserve">argomentazioni e le conclusioni </w:t>
      </w:r>
      <w:r w:rsidR="002C20C2" w:rsidRPr="00F44C00">
        <w:rPr>
          <w:rFonts w:ascii="Times New Roman" w:hAnsi="Times New Roman" w:cs="Times New Roman"/>
          <w:sz w:val="24"/>
          <w:szCs w:val="24"/>
        </w:rPr>
        <w:t xml:space="preserve">ivi </w:t>
      </w:r>
      <w:r w:rsidR="00C7665C" w:rsidRPr="00F44C00">
        <w:rPr>
          <w:rFonts w:ascii="Times New Roman" w:hAnsi="Times New Roman" w:cs="Times New Roman"/>
          <w:sz w:val="24"/>
          <w:szCs w:val="24"/>
        </w:rPr>
        <w:t>espresse</w:t>
      </w:r>
      <w:r w:rsidR="002C20C2" w:rsidRPr="00F44C00">
        <w:rPr>
          <w:rFonts w:ascii="Times New Roman" w:hAnsi="Times New Roman" w:cs="Times New Roman"/>
          <w:sz w:val="24"/>
          <w:szCs w:val="24"/>
        </w:rPr>
        <w:t xml:space="preserve">, che </w:t>
      </w:r>
      <w:r w:rsidR="00B77687" w:rsidRPr="00F44C00">
        <w:rPr>
          <w:rFonts w:ascii="Times New Roman" w:hAnsi="Times New Roman" w:cs="Times New Roman"/>
          <w:sz w:val="24"/>
          <w:szCs w:val="24"/>
        </w:rPr>
        <w:t xml:space="preserve">rimangono valide ed attuali anche alla luce della rimessione alle </w:t>
      </w:r>
      <w:r w:rsidR="002C20C2" w:rsidRPr="00F44C00">
        <w:rPr>
          <w:rFonts w:ascii="Times New Roman" w:hAnsi="Times New Roman" w:cs="Times New Roman"/>
          <w:sz w:val="24"/>
          <w:szCs w:val="24"/>
        </w:rPr>
        <w:t>Sezioni Unite</w:t>
      </w:r>
      <w:r w:rsidR="00AB1E52" w:rsidRPr="00F44C00">
        <w:rPr>
          <w:rFonts w:ascii="Times New Roman" w:hAnsi="Times New Roman" w:cs="Times New Roman"/>
          <w:sz w:val="24"/>
          <w:szCs w:val="24"/>
        </w:rPr>
        <w:t xml:space="preserve"> incentrata proprio e soprattutto sulla questione della non retroattività della suddetta abrogazione</w:t>
      </w:r>
      <w:r w:rsidR="00327CC2" w:rsidRPr="00F44C00">
        <w:rPr>
          <w:rFonts w:ascii="Times New Roman" w:hAnsi="Times New Roman" w:cs="Times New Roman"/>
          <w:sz w:val="24"/>
          <w:szCs w:val="24"/>
        </w:rPr>
        <w:t>.</w:t>
      </w:r>
    </w:p>
    <w:p w14:paraId="59C2F7AD" w14:textId="0ACE0F02" w:rsidR="00827607" w:rsidRPr="00F44C00" w:rsidRDefault="00F014B1" w:rsidP="00681E54">
      <w:pPr>
        <w:ind w:firstLine="708"/>
        <w:jc w:val="both"/>
        <w:rPr>
          <w:rFonts w:ascii="Times New Roman" w:hAnsi="Times New Roman" w:cs="Times New Roman"/>
          <w:sz w:val="24"/>
          <w:szCs w:val="24"/>
        </w:rPr>
      </w:pPr>
      <w:r w:rsidRPr="00F44C00">
        <w:rPr>
          <w:rFonts w:ascii="Times New Roman" w:hAnsi="Times New Roman" w:cs="Times New Roman"/>
          <w:sz w:val="24"/>
          <w:szCs w:val="24"/>
        </w:rPr>
        <w:t>In questa sede si può solo precisare che, n</w:t>
      </w:r>
      <w:r w:rsidR="00D63E94" w:rsidRPr="00F44C00">
        <w:rPr>
          <w:rFonts w:ascii="Times New Roman" w:hAnsi="Times New Roman" w:cs="Times New Roman"/>
          <w:sz w:val="24"/>
          <w:szCs w:val="24"/>
        </w:rPr>
        <w:t xml:space="preserve">ell’ipotesi di una sentenza delle Sezioni Unite di tenore diverso rispetto a </w:t>
      </w:r>
      <w:r w:rsidR="00827607" w:rsidRPr="00F44C00">
        <w:rPr>
          <w:rFonts w:ascii="Times New Roman" w:hAnsi="Times New Roman" w:cs="Times New Roman"/>
          <w:sz w:val="24"/>
          <w:szCs w:val="24"/>
        </w:rPr>
        <w:t xml:space="preserve">quella della sentenza 4190/2019, vale a dire di una sentenza che affermi l’applicazione retroattiva dell’abrogazione del permesso di soggiorno per motivi umanitari, </w:t>
      </w:r>
      <w:r w:rsidR="00B84B41" w:rsidRPr="00F44C00">
        <w:rPr>
          <w:rFonts w:ascii="Times New Roman" w:hAnsi="Times New Roman" w:cs="Times New Roman"/>
          <w:sz w:val="24"/>
          <w:szCs w:val="24"/>
        </w:rPr>
        <w:t xml:space="preserve">o la sua applicazione pro futuro, </w:t>
      </w:r>
      <w:r w:rsidR="00B478AB" w:rsidRPr="00F44C00">
        <w:rPr>
          <w:rFonts w:ascii="Times New Roman" w:hAnsi="Times New Roman" w:cs="Times New Roman"/>
          <w:sz w:val="24"/>
          <w:szCs w:val="24"/>
        </w:rPr>
        <w:t xml:space="preserve">sembra </w:t>
      </w:r>
      <w:r w:rsidRPr="00F44C00">
        <w:rPr>
          <w:rFonts w:ascii="Times New Roman" w:hAnsi="Times New Roman" w:cs="Times New Roman"/>
          <w:sz w:val="24"/>
          <w:szCs w:val="24"/>
        </w:rPr>
        <w:t xml:space="preserve">inevitabile </w:t>
      </w:r>
      <w:r w:rsidR="0050681C" w:rsidRPr="00F44C00">
        <w:rPr>
          <w:rFonts w:ascii="Times New Roman" w:hAnsi="Times New Roman" w:cs="Times New Roman"/>
          <w:sz w:val="24"/>
          <w:szCs w:val="24"/>
        </w:rPr>
        <w:t xml:space="preserve">una </w:t>
      </w:r>
      <w:r w:rsidR="00B37221" w:rsidRPr="00F44C00">
        <w:rPr>
          <w:rFonts w:ascii="Times New Roman" w:hAnsi="Times New Roman" w:cs="Times New Roman"/>
          <w:sz w:val="24"/>
          <w:szCs w:val="24"/>
        </w:rPr>
        <w:t>rimessione alla Corte costituzionale</w:t>
      </w:r>
      <w:r w:rsidR="0050681C" w:rsidRPr="00F44C00">
        <w:rPr>
          <w:rFonts w:ascii="Times New Roman" w:hAnsi="Times New Roman" w:cs="Times New Roman"/>
          <w:sz w:val="24"/>
          <w:szCs w:val="24"/>
        </w:rPr>
        <w:t xml:space="preserve">, </w:t>
      </w:r>
      <w:r w:rsidR="002F5ECD" w:rsidRPr="00F44C00">
        <w:rPr>
          <w:rFonts w:ascii="Times New Roman" w:hAnsi="Times New Roman" w:cs="Times New Roman"/>
          <w:sz w:val="24"/>
          <w:szCs w:val="24"/>
        </w:rPr>
        <w:t xml:space="preserve">relativamente </w:t>
      </w:r>
      <w:r w:rsidR="0050681C" w:rsidRPr="00F44C00">
        <w:rPr>
          <w:rFonts w:ascii="Times New Roman" w:hAnsi="Times New Roman" w:cs="Times New Roman"/>
          <w:sz w:val="24"/>
          <w:szCs w:val="24"/>
        </w:rPr>
        <w:t xml:space="preserve">alla legittimità di tale </w:t>
      </w:r>
      <w:r w:rsidR="00315265" w:rsidRPr="00F44C00">
        <w:rPr>
          <w:rFonts w:ascii="Times New Roman" w:hAnsi="Times New Roman" w:cs="Times New Roman"/>
          <w:sz w:val="24"/>
          <w:szCs w:val="24"/>
        </w:rPr>
        <w:t>opzione,</w:t>
      </w:r>
      <w:r w:rsidR="004924D1" w:rsidRPr="00F44C00">
        <w:rPr>
          <w:rFonts w:ascii="Times New Roman" w:hAnsi="Times New Roman" w:cs="Times New Roman"/>
          <w:sz w:val="24"/>
          <w:szCs w:val="24"/>
        </w:rPr>
        <w:t xml:space="preserve"> concernente un diritto fondamentale e per di più effettuata attraverso un decreto legge</w:t>
      </w:r>
      <w:r w:rsidR="00F42830" w:rsidRPr="00F44C00">
        <w:rPr>
          <w:rFonts w:ascii="Times New Roman" w:hAnsi="Times New Roman" w:cs="Times New Roman"/>
          <w:sz w:val="24"/>
          <w:szCs w:val="24"/>
        </w:rPr>
        <w:t>.</w:t>
      </w:r>
    </w:p>
    <w:p w14:paraId="6A7D8D88" w14:textId="58F7BFAF" w:rsidR="00C550DE" w:rsidRPr="00F44C00" w:rsidRDefault="00C550DE" w:rsidP="00C550DE">
      <w:pPr>
        <w:pStyle w:val="Paragrafoelenco"/>
        <w:numPr>
          <w:ilvl w:val="0"/>
          <w:numId w:val="4"/>
        </w:numPr>
        <w:jc w:val="both"/>
        <w:rPr>
          <w:rFonts w:ascii="Times New Roman" w:hAnsi="Times New Roman" w:cs="Times New Roman"/>
          <w:b/>
          <w:sz w:val="24"/>
          <w:szCs w:val="24"/>
        </w:rPr>
      </w:pPr>
      <w:r w:rsidRPr="00F44C00">
        <w:rPr>
          <w:rFonts w:ascii="Times New Roman" w:hAnsi="Times New Roman" w:cs="Times New Roman"/>
          <w:b/>
          <w:sz w:val="24"/>
          <w:szCs w:val="24"/>
        </w:rPr>
        <w:t>Effetti rispetto al diritto di asilo costituzionale</w:t>
      </w:r>
    </w:p>
    <w:p w14:paraId="3ECA0F53" w14:textId="1FEF0F8B" w:rsidR="00DD50C5" w:rsidRPr="00F44C00" w:rsidRDefault="002C465D" w:rsidP="00C550DE">
      <w:pPr>
        <w:ind w:firstLine="708"/>
        <w:jc w:val="both"/>
        <w:rPr>
          <w:rFonts w:ascii="Times New Roman" w:hAnsi="Times New Roman" w:cs="Times New Roman"/>
          <w:sz w:val="24"/>
          <w:szCs w:val="24"/>
        </w:rPr>
      </w:pPr>
      <w:r w:rsidRPr="00F44C00">
        <w:rPr>
          <w:rFonts w:ascii="Times New Roman" w:hAnsi="Times New Roman" w:cs="Times New Roman"/>
          <w:sz w:val="24"/>
          <w:szCs w:val="24"/>
        </w:rPr>
        <w:t>Esaurite comunque le questioni di diritto intertemporale,</w:t>
      </w:r>
      <w:r w:rsidR="00844B04" w:rsidRPr="00F44C00">
        <w:rPr>
          <w:rFonts w:ascii="Times New Roman" w:hAnsi="Times New Roman" w:cs="Times New Roman"/>
          <w:sz w:val="24"/>
          <w:szCs w:val="24"/>
        </w:rPr>
        <w:t xml:space="preserve"> sarà necessario </w:t>
      </w:r>
      <w:r w:rsidR="00DD50C5" w:rsidRPr="00F44C00">
        <w:rPr>
          <w:rFonts w:ascii="Times New Roman" w:hAnsi="Times New Roman" w:cs="Times New Roman"/>
          <w:sz w:val="24"/>
          <w:szCs w:val="24"/>
        </w:rPr>
        <w:t>interrogarsi sugli effetti dell’abrogazione rispetto al diritto di asilo costituzionale.</w:t>
      </w:r>
      <w:r w:rsidR="00F41EA8" w:rsidRPr="00F44C00">
        <w:rPr>
          <w:rFonts w:ascii="Times New Roman" w:hAnsi="Times New Roman" w:cs="Times New Roman"/>
          <w:sz w:val="24"/>
          <w:szCs w:val="24"/>
        </w:rPr>
        <w:t xml:space="preserve"> Invero, tale riflessione è necessaria anche in relazione ai dinieghi di rinnovo dei permessi per motivi di protezione umanitaria, suscettibili di ricorso giurisdizionale.</w:t>
      </w:r>
    </w:p>
    <w:p w14:paraId="7F65DB0A" w14:textId="7502F2BC" w:rsidR="007E4D61" w:rsidRPr="00F44C00" w:rsidRDefault="002B5B48" w:rsidP="00817C36">
      <w:pPr>
        <w:ind w:firstLine="708"/>
        <w:jc w:val="both"/>
        <w:rPr>
          <w:rFonts w:ascii="Times New Roman" w:hAnsi="Times New Roman" w:cs="Times New Roman"/>
          <w:sz w:val="24"/>
          <w:szCs w:val="24"/>
        </w:rPr>
      </w:pPr>
      <w:r w:rsidRPr="00F44C00">
        <w:rPr>
          <w:rFonts w:ascii="Times New Roman" w:hAnsi="Times New Roman" w:cs="Times New Roman"/>
          <w:sz w:val="24"/>
          <w:szCs w:val="24"/>
        </w:rPr>
        <w:t>Una parte dell</w:t>
      </w:r>
      <w:r w:rsidR="00670BA7" w:rsidRPr="00F44C00">
        <w:rPr>
          <w:rFonts w:ascii="Times New Roman" w:hAnsi="Times New Roman" w:cs="Times New Roman"/>
          <w:sz w:val="24"/>
          <w:szCs w:val="24"/>
        </w:rPr>
        <w:t>a dottrina si è già espressa sulla possibile applicazione diretta dell’art. 10(3) Cost. (</w:t>
      </w:r>
      <w:r w:rsidR="003F2367">
        <w:rPr>
          <w:rFonts w:ascii="Times New Roman" w:hAnsi="Times New Roman" w:cs="Times New Roman"/>
          <w:sz w:val="24"/>
          <w:szCs w:val="24"/>
        </w:rPr>
        <w:t>s</w:t>
      </w:r>
      <w:r w:rsidR="00670BA7" w:rsidRPr="00F44C00">
        <w:rPr>
          <w:rFonts w:ascii="Times New Roman" w:hAnsi="Times New Roman" w:cs="Times New Roman"/>
          <w:sz w:val="24"/>
          <w:szCs w:val="24"/>
        </w:rPr>
        <w:t xml:space="preserve">i veda </w:t>
      </w:r>
      <w:r w:rsidR="003F2367">
        <w:rPr>
          <w:rFonts w:ascii="Times New Roman" w:hAnsi="Times New Roman" w:cs="Times New Roman"/>
          <w:sz w:val="24"/>
          <w:szCs w:val="24"/>
        </w:rPr>
        <w:t>l’</w:t>
      </w:r>
      <w:r w:rsidR="00670BA7" w:rsidRPr="00F44C00">
        <w:rPr>
          <w:rFonts w:ascii="Times New Roman" w:hAnsi="Times New Roman" w:cs="Times New Roman"/>
          <w:sz w:val="24"/>
          <w:szCs w:val="24"/>
        </w:rPr>
        <w:t>articol</w:t>
      </w:r>
      <w:r w:rsidR="003F2367">
        <w:rPr>
          <w:rFonts w:ascii="Times New Roman" w:hAnsi="Times New Roman" w:cs="Times New Roman"/>
          <w:sz w:val="24"/>
          <w:szCs w:val="24"/>
        </w:rPr>
        <w:t xml:space="preserve">o </w:t>
      </w:r>
      <w:r w:rsidR="00670BA7" w:rsidRPr="00F44C00">
        <w:rPr>
          <w:rFonts w:ascii="Times New Roman" w:hAnsi="Times New Roman" w:cs="Times New Roman"/>
          <w:sz w:val="24"/>
          <w:szCs w:val="24"/>
        </w:rPr>
        <w:t>d</w:t>
      </w:r>
      <w:r w:rsidR="003F2367">
        <w:rPr>
          <w:rFonts w:ascii="Times New Roman" w:hAnsi="Times New Roman" w:cs="Times New Roman"/>
          <w:sz w:val="24"/>
          <w:szCs w:val="24"/>
        </w:rPr>
        <w:t>el Prof. Marco</w:t>
      </w:r>
      <w:r w:rsidR="00670BA7" w:rsidRPr="00F44C00">
        <w:rPr>
          <w:rFonts w:ascii="Times New Roman" w:hAnsi="Times New Roman" w:cs="Times New Roman"/>
          <w:sz w:val="24"/>
          <w:szCs w:val="24"/>
        </w:rPr>
        <w:t xml:space="preserve"> Benvenuti</w:t>
      </w:r>
      <w:r w:rsidRPr="00F44C00">
        <w:rPr>
          <w:rFonts w:ascii="Times New Roman" w:hAnsi="Times New Roman" w:cs="Times New Roman"/>
          <w:sz w:val="24"/>
          <w:szCs w:val="24"/>
        </w:rPr>
        <w:t xml:space="preserve">, </w:t>
      </w:r>
      <w:hyperlink r:id="rId8" w:history="1">
        <w:r w:rsidRPr="00DC6BEB">
          <w:rPr>
            <w:rStyle w:val="Collegamentoipertestuale"/>
            <w:rFonts w:ascii="Times New Roman" w:hAnsi="Times New Roman" w:cs="Times New Roman"/>
            <w:i/>
            <w:iCs/>
            <w:sz w:val="24"/>
            <w:szCs w:val="24"/>
          </w:rPr>
          <w:t>Il dito e la luna. La protezione delle esigenze di carattere umanitario degli stranieri prima e dopo il decreto Salvini</w:t>
        </w:r>
      </w:hyperlink>
      <w:r w:rsidR="00CF7C01" w:rsidRPr="00F44C00">
        <w:rPr>
          <w:rFonts w:ascii="Times New Roman" w:hAnsi="Times New Roman" w:cs="Times New Roman"/>
          <w:sz w:val="24"/>
          <w:szCs w:val="24"/>
        </w:rPr>
        <w:t xml:space="preserve">, in </w:t>
      </w:r>
      <w:r w:rsidR="00CF7C01" w:rsidRPr="00F44C00">
        <w:rPr>
          <w:rFonts w:ascii="Times New Roman" w:hAnsi="Times New Roman" w:cs="Times New Roman"/>
          <w:i/>
          <w:iCs/>
          <w:sz w:val="24"/>
          <w:szCs w:val="24"/>
        </w:rPr>
        <w:t>Diritto, immigrazione e cittadinanza</w:t>
      </w:r>
      <w:r w:rsidR="00CF7C01" w:rsidRPr="00F44C00">
        <w:rPr>
          <w:rFonts w:ascii="Times New Roman" w:hAnsi="Times New Roman" w:cs="Times New Roman"/>
          <w:sz w:val="24"/>
          <w:szCs w:val="24"/>
        </w:rPr>
        <w:t>, 2019 n. 1</w:t>
      </w:r>
      <w:r w:rsidR="00670BA7" w:rsidRPr="00F44C00">
        <w:rPr>
          <w:rFonts w:ascii="Times New Roman" w:hAnsi="Times New Roman" w:cs="Times New Roman"/>
          <w:sz w:val="24"/>
          <w:szCs w:val="24"/>
        </w:rPr>
        <w:t>).</w:t>
      </w:r>
      <w:r w:rsidR="00817C36" w:rsidRPr="00F44C00">
        <w:rPr>
          <w:rFonts w:ascii="Times New Roman" w:hAnsi="Times New Roman" w:cs="Times New Roman"/>
          <w:sz w:val="24"/>
          <w:szCs w:val="24"/>
        </w:rPr>
        <w:t xml:space="preserve"> </w:t>
      </w:r>
      <w:r w:rsidR="008C10CC" w:rsidRPr="00F44C00">
        <w:rPr>
          <w:rFonts w:ascii="Times New Roman" w:hAnsi="Times New Roman" w:cs="Times New Roman"/>
          <w:sz w:val="24"/>
          <w:szCs w:val="24"/>
        </w:rPr>
        <w:t>La medesima questione potrebbe essere posta di fronte alla Corte costituzionale, sebbene l’abrogazione del permesso di soggiorno per motivi umanitari non abbia introdotto una normativa incostituzionale, bensì abbia creato una lacuna nella tipologia di protezione da riconoscere a chi versi in una situazione di vulnerabilità non tipizzata</w:t>
      </w:r>
      <w:r w:rsidR="003864D2" w:rsidRPr="00F44C00">
        <w:rPr>
          <w:rFonts w:ascii="Times New Roman" w:hAnsi="Times New Roman" w:cs="Times New Roman"/>
          <w:sz w:val="24"/>
          <w:szCs w:val="24"/>
        </w:rPr>
        <w:t>.</w:t>
      </w:r>
    </w:p>
    <w:p w14:paraId="276A7424" w14:textId="77959C17" w:rsidR="00B15E10" w:rsidRDefault="00F32270" w:rsidP="00817C36">
      <w:pPr>
        <w:ind w:firstLine="708"/>
        <w:jc w:val="both"/>
        <w:rPr>
          <w:rFonts w:ascii="Times New Roman" w:hAnsi="Times New Roman" w:cs="Times New Roman"/>
          <w:sz w:val="24"/>
          <w:szCs w:val="24"/>
        </w:rPr>
      </w:pPr>
      <w:r w:rsidRPr="00F44C00">
        <w:rPr>
          <w:rFonts w:ascii="Times New Roman" w:hAnsi="Times New Roman" w:cs="Times New Roman"/>
          <w:sz w:val="24"/>
          <w:szCs w:val="24"/>
        </w:rPr>
        <w:t xml:space="preserve">Rimarrebbe in ogni caso da esplorare quali norme procedurali </w:t>
      </w:r>
      <w:r w:rsidR="00643A29" w:rsidRPr="00F44C00">
        <w:rPr>
          <w:rFonts w:ascii="Times New Roman" w:hAnsi="Times New Roman" w:cs="Times New Roman"/>
          <w:sz w:val="24"/>
          <w:szCs w:val="24"/>
        </w:rPr>
        <w:t>siano applicabili in mancanza di una disciplina espressa.</w:t>
      </w:r>
    </w:p>
    <w:p w14:paraId="41920934" w14:textId="77777777" w:rsidR="00F44C00" w:rsidRPr="00F44C00" w:rsidRDefault="00F44C00" w:rsidP="00817C36">
      <w:pPr>
        <w:ind w:firstLine="708"/>
        <w:jc w:val="both"/>
        <w:rPr>
          <w:rFonts w:ascii="Times New Roman" w:hAnsi="Times New Roman" w:cs="Times New Roman"/>
          <w:sz w:val="24"/>
          <w:szCs w:val="24"/>
        </w:rPr>
      </w:pPr>
    </w:p>
    <w:p w14:paraId="348B7E25" w14:textId="6D328AE9" w:rsidR="007E4D61" w:rsidRPr="00F44C00" w:rsidRDefault="00804D40" w:rsidP="00804D40">
      <w:pPr>
        <w:pStyle w:val="Paragrafoelenco"/>
        <w:numPr>
          <w:ilvl w:val="0"/>
          <w:numId w:val="4"/>
        </w:numPr>
        <w:jc w:val="both"/>
        <w:rPr>
          <w:rFonts w:ascii="Times New Roman" w:hAnsi="Times New Roman" w:cs="Times New Roman"/>
          <w:b/>
          <w:sz w:val="24"/>
          <w:szCs w:val="24"/>
        </w:rPr>
      </w:pPr>
      <w:r w:rsidRPr="00F44C00">
        <w:rPr>
          <w:rFonts w:ascii="Times New Roman" w:hAnsi="Times New Roman" w:cs="Times New Roman"/>
          <w:b/>
          <w:sz w:val="24"/>
          <w:szCs w:val="24"/>
        </w:rPr>
        <w:lastRenderedPageBreak/>
        <w:t>L</w:t>
      </w:r>
      <w:r w:rsidR="00B21EA8" w:rsidRPr="00F44C00">
        <w:rPr>
          <w:rFonts w:ascii="Times New Roman" w:hAnsi="Times New Roman" w:cs="Times New Roman"/>
          <w:b/>
          <w:sz w:val="24"/>
          <w:szCs w:val="24"/>
        </w:rPr>
        <w:t xml:space="preserve">’applicazione diretta </w:t>
      </w:r>
      <w:r w:rsidRPr="00F44C00">
        <w:rPr>
          <w:rFonts w:ascii="Times New Roman" w:hAnsi="Times New Roman" w:cs="Times New Roman"/>
          <w:b/>
          <w:sz w:val="24"/>
          <w:szCs w:val="24"/>
        </w:rPr>
        <w:t>degli obblighi internazionali</w:t>
      </w:r>
    </w:p>
    <w:p w14:paraId="25E57527" w14:textId="1AF386ED" w:rsidR="004879DE" w:rsidRPr="00F44C00" w:rsidRDefault="004879DE" w:rsidP="004879DE">
      <w:pPr>
        <w:ind w:firstLine="708"/>
        <w:jc w:val="both"/>
        <w:rPr>
          <w:rFonts w:ascii="Times New Roman" w:hAnsi="Times New Roman" w:cs="Times New Roman"/>
          <w:sz w:val="24"/>
          <w:szCs w:val="24"/>
        </w:rPr>
      </w:pPr>
      <w:r w:rsidRPr="00F44C00">
        <w:rPr>
          <w:rFonts w:ascii="Times New Roman" w:hAnsi="Times New Roman" w:cs="Times New Roman"/>
          <w:sz w:val="24"/>
          <w:szCs w:val="24"/>
        </w:rPr>
        <w:t>Analog</w:t>
      </w:r>
      <w:r w:rsidR="0031776D" w:rsidRPr="00F44C00">
        <w:rPr>
          <w:rFonts w:ascii="Times New Roman" w:hAnsi="Times New Roman" w:cs="Times New Roman"/>
          <w:sz w:val="24"/>
          <w:szCs w:val="24"/>
        </w:rPr>
        <w:t xml:space="preserve">a questione si pone anche </w:t>
      </w:r>
      <w:r w:rsidRPr="00F44C00">
        <w:rPr>
          <w:rFonts w:ascii="Times New Roman" w:hAnsi="Times New Roman" w:cs="Times New Roman"/>
          <w:sz w:val="24"/>
          <w:szCs w:val="24"/>
        </w:rPr>
        <w:t>per quelle ipotesi di divieto di allontanamento derivante dal diritto internazionale, in particolare dalla CEDU</w:t>
      </w:r>
      <w:r w:rsidR="00B21EA8" w:rsidRPr="00F44C00">
        <w:rPr>
          <w:rFonts w:ascii="Times New Roman" w:hAnsi="Times New Roman" w:cs="Times New Roman"/>
          <w:sz w:val="24"/>
          <w:szCs w:val="24"/>
        </w:rPr>
        <w:t xml:space="preserve"> con riferimento </w:t>
      </w:r>
      <w:r w:rsidRPr="00F44C00">
        <w:rPr>
          <w:rFonts w:ascii="Times New Roman" w:hAnsi="Times New Roman" w:cs="Times New Roman"/>
          <w:sz w:val="24"/>
          <w:szCs w:val="24"/>
        </w:rPr>
        <w:t>agli articoli 3 (divieto di tortura e pene o trattamenti disumani e degradanti) e 8 (diritto alla vita privata e familiare). Le nuove ipotesi di protezione, nonché i permessi per motivi familiari e cure mediche, non sono infatti suscettibili di esaurire tutte le situazioni di vulnerabilità coperte da tali disposizioni ed in particolare risultano esclus</w:t>
      </w:r>
      <w:r w:rsidR="00B21EA8" w:rsidRPr="00F44C00">
        <w:rPr>
          <w:rFonts w:ascii="Times New Roman" w:hAnsi="Times New Roman" w:cs="Times New Roman"/>
          <w:sz w:val="24"/>
          <w:szCs w:val="24"/>
        </w:rPr>
        <w:t>i</w:t>
      </w:r>
      <w:r w:rsidRPr="00F44C00">
        <w:rPr>
          <w:rFonts w:ascii="Times New Roman" w:hAnsi="Times New Roman" w:cs="Times New Roman"/>
          <w:sz w:val="24"/>
          <w:szCs w:val="24"/>
        </w:rPr>
        <w:t xml:space="preserve"> il diritto alla vita privata e il divieto di pene o trattamenti disumani o degradanti</w:t>
      </w:r>
      <w:r w:rsidR="00F42763">
        <w:rPr>
          <w:rFonts w:ascii="Times New Roman" w:hAnsi="Times New Roman" w:cs="Times New Roman"/>
          <w:sz w:val="24"/>
          <w:szCs w:val="24"/>
        </w:rPr>
        <w:t xml:space="preserve"> (C. </w:t>
      </w:r>
      <w:bookmarkStart w:id="0" w:name="_GoBack"/>
      <w:bookmarkEnd w:id="0"/>
      <w:r w:rsidR="00F42763" w:rsidRPr="00F44C00">
        <w:rPr>
          <w:rFonts w:ascii="Times New Roman" w:hAnsi="Times New Roman" w:cs="Times New Roman"/>
          <w:sz w:val="24"/>
          <w:szCs w:val="24"/>
        </w:rPr>
        <w:t xml:space="preserve">Favilli, </w:t>
      </w:r>
      <w:r w:rsidR="00F42763" w:rsidRPr="00F44C00">
        <w:rPr>
          <w:rFonts w:ascii="Times New Roman" w:hAnsi="Times New Roman" w:cs="Times New Roman"/>
          <w:i/>
          <w:iCs/>
          <w:sz w:val="24"/>
          <w:szCs w:val="24"/>
        </w:rPr>
        <w:t xml:space="preserve">Il re è morto. Lunga vita al </w:t>
      </w:r>
      <w:proofErr w:type="gramStart"/>
      <w:r w:rsidR="00F42763" w:rsidRPr="00F44C00">
        <w:rPr>
          <w:rFonts w:ascii="Times New Roman" w:hAnsi="Times New Roman" w:cs="Times New Roman"/>
          <w:i/>
          <w:iCs/>
          <w:sz w:val="24"/>
          <w:szCs w:val="24"/>
        </w:rPr>
        <w:t>re!</w:t>
      </w:r>
      <w:r w:rsidR="00F42763" w:rsidRPr="00F44C00">
        <w:rPr>
          <w:rFonts w:ascii="Times New Roman" w:hAnsi="Times New Roman" w:cs="Times New Roman"/>
          <w:sz w:val="24"/>
          <w:szCs w:val="24"/>
        </w:rPr>
        <w:t>,</w:t>
      </w:r>
      <w:proofErr w:type="gramEnd"/>
      <w:r w:rsidR="00F42763" w:rsidRPr="00F44C00">
        <w:rPr>
          <w:rFonts w:ascii="Times New Roman" w:hAnsi="Times New Roman" w:cs="Times New Roman"/>
          <w:sz w:val="24"/>
          <w:szCs w:val="24"/>
        </w:rPr>
        <w:t xml:space="preserve"> in </w:t>
      </w:r>
      <w:r w:rsidR="00F42763" w:rsidRPr="00F44C00">
        <w:rPr>
          <w:rFonts w:ascii="Times New Roman" w:hAnsi="Times New Roman" w:cs="Times New Roman"/>
          <w:i/>
          <w:iCs/>
          <w:sz w:val="24"/>
          <w:szCs w:val="24"/>
        </w:rPr>
        <w:t>Rivista di diritto internazionale</w:t>
      </w:r>
      <w:r w:rsidR="00F42763" w:rsidRPr="00F44C00">
        <w:rPr>
          <w:rFonts w:ascii="Times New Roman" w:hAnsi="Times New Roman" w:cs="Times New Roman"/>
          <w:sz w:val="24"/>
          <w:szCs w:val="24"/>
        </w:rPr>
        <w:t>, 2018 n. 4</w:t>
      </w:r>
      <w:r w:rsidR="00F42763">
        <w:rPr>
          <w:rFonts w:ascii="Times New Roman" w:hAnsi="Times New Roman" w:cs="Times New Roman"/>
          <w:sz w:val="24"/>
          <w:szCs w:val="24"/>
        </w:rPr>
        <w:t>).</w:t>
      </w:r>
    </w:p>
    <w:p w14:paraId="5E8E9928" w14:textId="098544EF" w:rsidR="00B21EA8" w:rsidRPr="00F44C00" w:rsidRDefault="00B21EA8" w:rsidP="00B21EA8">
      <w:pPr>
        <w:pStyle w:val="Paragrafoelenco"/>
        <w:numPr>
          <w:ilvl w:val="0"/>
          <w:numId w:val="4"/>
        </w:numPr>
        <w:jc w:val="both"/>
        <w:rPr>
          <w:rFonts w:ascii="Times New Roman" w:hAnsi="Times New Roman" w:cs="Times New Roman"/>
          <w:b/>
          <w:sz w:val="24"/>
          <w:szCs w:val="24"/>
        </w:rPr>
      </w:pPr>
      <w:r w:rsidRPr="00F44C00">
        <w:rPr>
          <w:rFonts w:ascii="Times New Roman" w:hAnsi="Times New Roman" w:cs="Times New Roman"/>
          <w:b/>
          <w:sz w:val="24"/>
          <w:szCs w:val="24"/>
        </w:rPr>
        <w:t>Le torture subite nel Paese di transito</w:t>
      </w:r>
    </w:p>
    <w:p w14:paraId="366E98DA" w14:textId="2A042AD4" w:rsidR="00B478AB" w:rsidRPr="00F44C00" w:rsidRDefault="00B21EA8" w:rsidP="007832A2">
      <w:pPr>
        <w:shd w:val="clear" w:color="auto" w:fill="FFFFFF"/>
        <w:ind w:right="140" w:firstLine="709"/>
        <w:jc w:val="both"/>
        <w:rPr>
          <w:rFonts w:ascii="Times New Roman" w:hAnsi="Times New Roman" w:cs="Times New Roman"/>
          <w:sz w:val="24"/>
          <w:szCs w:val="24"/>
        </w:rPr>
      </w:pPr>
      <w:r w:rsidRPr="00F44C00">
        <w:rPr>
          <w:rFonts w:ascii="Times New Roman" w:hAnsi="Times New Roman" w:cs="Times New Roman"/>
          <w:sz w:val="24"/>
          <w:szCs w:val="24"/>
        </w:rPr>
        <w:t>Infine, si consideri che l</w:t>
      </w:r>
      <w:r w:rsidR="00CB6AEE" w:rsidRPr="00F44C00">
        <w:rPr>
          <w:rFonts w:ascii="Times New Roman" w:hAnsi="Times New Roman" w:cs="Times New Roman"/>
          <w:sz w:val="24"/>
          <w:szCs w:val="24"/>
        </w:rPr>
        <w:t>’abrogazione del permesso di soggiorno per motivi umanitari riduce anche la possibilità di tutelare coloro che versino in una situazione di vulnerabilità a causa delle torture subite nel Paese di transito, in particolare in Libia.</w:t>
      </w:r>
      <w:r w:rsidR="006503D2" w:rsidRPr="00F44C00">
        <w:rPr>
          <w:rFonts w:ascii="Times New Roman" w:hAnsi="Times New Roman" w:cs="Times New Roman"/>
          <w:sz w:val="24"/>
          <w:szCs w:val="24"/>
        </w:rPr>
        <w:t xml:space="preserve"> In questo senso si orienta già parte </w:t>
      </w:r>
      <w:proofErr w:type="spellStart"/>
      <w:r w:rsidR="006503D2" w:rsidRPr="00F44C00">
        <w:rPr>
          <w:rFonts w:ascii="Times New Roman" w:hAnsi="Times New Roman" w:cs="Times New Roman"/>
          <w:sz w:val="24"/>
          <w:szCs w:val="24"/>
        </w:rPr>
        <w:t>dela</w:t>
      </w:r>
      <w:proofErr w:type="spellEnd"/>
      <w:r w:rsidR="006503D2" w:rsidRPr="00F44C00">
        <w:rPr>
          <w:rFonts w:ascii="Times New Roman" w:hAnsi="Times New Roman" w:cs="Times New Roman"/>
          <w:sz w:val="24"/>
          <w:szCs w:val="24"/>
        </w:rPr>
        <w:t xml:space="preserve"> giurisprudenza di merito </w:t>
      </w:r>
      <w:r w:rsidR="00B478AB" w:rsidRPr="00F44C00">
        <w:rPr>
          <w:rFonts w:ascii="Times New Roman" w:hAnsi="Times New Roman" w:cs="Times New Roman"/>
          <w:sz w:val="24"/>
          <w:szCs w:val="24"/>
        </w:rPr>
        <w:t xml:space="preserve"> </w:t>
      </w:r>
      <w:r w:rsidR="006503D2" w:rsidRPr="00F44C00">
        <w:rPr>
          <w:rFonts w:ascii="Times New Roman" w:hAnsi="Times New Roman" w:cs="Times New Roman"/>
          <w:sz w:val="24"/>
          <w:szCs w:val="24"/>
        </w:rPr>
        <w:t>sulla base dei n</w:t>
      </w:r>
      <w:r w:rsidR="00B478AB" w:rsidRPr="00F44C00">
        <w:rPr>
          <w:rFonts w:ascii="Times New Roman" w:hAnsi="Times New Roman" w:cs="Times New Roman"/>
          <w:sz w:val="24"/>
          <w:szCs w:val="24"/>
        </w:rPr>
        <w:t xml:space="preserve">umerosi rapporti di organizzazioni internazionali, sia non governative sia governative, </w:t>
      </w:r>
      <w:r w:rsidR="006503D2" w:rsidRPr="00F44C00">
        <w:rPr>
          <w:rFonts w:ascii="Times New Roman" w:hAnsi="Times New Roman" w:cs="Times New Roman"/>
          <w:sz w:val="24"/>
          <w:szCs w:val="24"/>
        </w:rPr>
        <w:t xml:space="preserve">che </w:t>
      </w:r>
      <w:r w:rsidR="00B478AB" w:rsidRPr="00F44C00">
        <w:rPr>
          <w:rFonts w:ascii="Times New Roman" w:hAnsi="Times New Roman" w:cs="Times New Roman"/>
          <w:sz w:val="24"/>
          <w:szCs w:val="24"/>
        </w:rPr>
        <w:t xml:space="preserve">attestano una situazione di conflitto generalizzato con una presenza elevata di violenza e abusi da parte di gruppi armati e trafficanti </w:t>
      </w:r>
      <w:r w:rsidR="00A06298" w:rsidRPr="00F44C00">
        <w:rPr>
          <w:rFonts w:ascii="Times New Roman" w:hAnsi="Times New Roman" w:cs="Times New Roman"/>
          <w:sz w:val="24"/>
          <w:szCs w:val="24"/>
        </w:rPr>
        <w:t>(Report on the Human Rights Situation in Libya, 16 Novembre 2015,</w:t>
      </w:r>
      <w:r w:rsidR="00A06298" w:rsidRPr="00F44C00">
        <w:rPr>
          <w:rFonts w:ascii="Times New Roman" w:hAnsi="Times New Roman" w:cs="Times New Roman"/>
          <w:sz w:val="24"/>
          <w:szCs w:val="24"/>
          <w:u w:val="single"/>
        </w:rPr>
        <w:t xml:space="preserve"> </w:t>
      </w:r>
      <w:hyperlink r:id="rId9" w:history="1">
        <w:r w:rsidR="00A06298" w:rsidRPr="00F44C00">
          <w:rPr>
            <w:rStyle w:val="Collegamentoipertestuale"/>
            <w:rFonts w:ascii="Times New Roman" w:hAnsi="Times New Roman" w:cs="Times New Roman"/>
            <w:color w:val="auto"/>
            <w:sz w:val="24"/>
            <w:szCs w:val="24"/>
          </w:rPr>
          <w:t>https://www.ohchr.org/Documents/Countries/LY/UNSMIL_OHCHRJointly_report_Libya_16.11.15.pdf</w:t>
        </w:r>
      </w:hyperlink>
      <w:r w:rsidR="007832A2" w:rsidRPr="00F44C00">
        <w:rPr>
          <w:rStyle w:val="Collegamentoipertestuale"/>
          <w:rFonts w:ascii="Times New Roman" w:hAnsi="Times New Roman" w:cs="Times New Roman"/>
          <w:color w:val="auto"/>
          <w:sz w:val="24"/>
          <w:szCs w:val="24"/>
        </w:rPr>
        <w:t xml:space="preserve">; </w:t>
      </w:r>
      <w:hyperlink r:id="rId10" w:history="1">
        <w:r w:rsidR="007832A2" w:rsidRPr="00F44C00">
          <w:rPr>
            <w:rStyle w:val="Collegamentoipertestuale"/>
            <w:rFonts w:ascii="Times New Roman" w:hAnsi="Times New Roman" w:cs="Times New Roman"/>
            <w:sz w:val="24"/>
            <w:szCs w:val="24"/>
          </w:rPr>
          <w:t>https://www.unhcr.it/wp-content/uploads/2019/03/UNHCR-Posizione-Libia-aggiornamenti-II-clean.pdf</w:t>
        </w:r>
      </w:hyperlink>
      <w:r w:rsidR="007832A2" w:rsidRPr="00F44C00">
        <w:rPr>
          <w:rFonts w:ascii="Times New Roman" w:hAnsi="Times New Roman" w:cs="Times New Roman"/>
          <w:sz w:val="24"/>
          <w:szCs w:val="24"/>
        </w:rPr>
        <w:t xml:space="preserve">; </w:t>
      </w:r>
      <w:hyperlink r:id="rId11" w:history="1">
        <w:r w:rsidR="007832A2" w:rsidRPr="00F44C00">
          <w:rPr>
            <w:rStyle w:val="Collegamentoipertestuale"/>
            <w:rFonts w:ascii="Times New Roman" w:hAnsi="Times New Roman" w:cs="Times New Roman"/>
            <w:sz w:val="24"/>
            <w:szCs w:val="24"/>
          </w:rPr>
          <w:t>https://www.hrw.org/world-report/2019</w:t>
        </w:r>
      </w:hyperlink>
      <w:r w:rsidR="007832A2" w:rsidRPr="00F44C00">
        <w:rPr>
          <w:rFonts w:ascii="Times New Roman" w:hAnsi="Times New Roman" w:cs="Times New Roman"/>
          <w:sz w:val="24"/>
          <w:szCs w:val="24"/>
        </w:rPr>
        <w:t xml:space="preserve">; </w:t>
      </w:r>
      <w:hyperlink r:id="rId12" w:history="1">
        <w:r w:rsidR="00B478AB" w:rsidRPr="00F44C00">
          <w:rPr>
            <w:rStyle w:val="Collegamentoipertestuale"/>
            <w:rFonts w:ascii="Times New Roman" w:hAnsi="Times New Roman" w:cs="Times New Roman"/>
            <w:sz w:val="24"/>
            <w:szCs w:val="24"/>
          </w:rPr>
          <w:t>https://www.amnesty.it/libia-amnesty-international-alle-parti-in-conflitto-proteggete-la-vita-dei-civili/</w:t>
        </w:r>
      </w:hyperlink>
    </w:p>
    <w:p w14:paraId="3BE26B8B" w14:textId="58E1EF43" w:rsidR="00A74749" w:rsidRPr="00F44C00" w:rsidRDefault="00CB6AEE" w:rsidP="008F65E2">
      <w:pPr>
        <w:ind w:firstLine="708"/>
        <w:jc w:val="both"/>
        <w:rPr>
          <w:rFonts w:ascii="Times New Roman" w:hAnsi="Times New Roman" w:cs="Times New Roman"/>
          <w:sz w:val="24"/>
          <w:szCs w:val="24"/>
        </w:rPr>
      </w:pPr>
      <w:r w:rsidRPr="00F44C00">
        <w:rPr>
          <w:rFonts w:ascii="Times New Roman" w:hAnsi="Times New Roman" w:cs="Times New Roman"/>
          <w:sz w:val="24"/>
          <w:szCs w:val="24"/>
        </w:rPr>
        <w:t>A questo proposito merita attenzione quella giurisprudenza di merito che ha valorizzato l’art. 14 della Convenzione contro la tortura come fonte di obbligo internazionale che impone all’Italia di fornire protezione.</w:t>
      </w:r>
    </w:p>
    <w:p w14:paraId="7AF9BE58" w14:textId="77777777" w:rsidR="00F8306B" w:rsidRDefault="00F8306B" w:rsidP="00B21EA8">
      <w:pPr>
        <w:ind w:firstLine="708"/>
        <w:jc w:val="both"/>
        <w:rPr>
          <w:rFonts w:ascii="Times New Roman" w:hAnsi="Times New Roman" w:cs="Times New Roman"/>
          <w:b/>
          <w:sz w:val="24"/>
          <w:szCs w:val="24"/>
        </w:rPr>
      </w:pPr>
    </w:p>
    <w:p w14:paraId="3CE4834C" w14:textId="30926357" w:rsidR="007E4D61" w:rsidRPr="00F44C00" w:rsidRDefault="00B21EA8" w:rsidP="00B21EA8">
      <w:pPr>
        <w:ind w:firstLine="708"/>
        <w:jc w:val="both"/>
        <w:rPr>
          <w:rFonts w:ascii="Times New Roman" w:hAnsi="Times New Roman" w:cs="Times New Roman"/>
          <w:b/>
          <w:sz w:val="24"/>
          <w:szCs w:val="24"/>
        </w:rPr>
      </w:pPr>
      <w:r w:rsidRPr="00F44C00">
        <w:rPr>
          <w:rFonts w:ascii="Times New Roman" w:hAnsi="Times New Roman" w:cs="Times New Roman"/>
          <w:b/>
          <w:sz w:val="24"/>
          <w:szCs w:val="24"/>
        </w:rPr>
        <w:t xml:space="preserve">II. </w:t>
      </w:r>
      <w:r w:rsidR="008820A9" w:rsidRPr="00F44C00">
        <w:rPr>
          <w:rFonts w:ascii="Times New Roman" w:hAnsi="Times New Roman" w:cs="Times New Roman"/>
          <w:b/>
          <w:sz w:val="24"/>
          <w:szCs w:val="24"/>
        </w:rPr>
        <w:t>La tutela</w:t>
      </w:r>
      <w:r w:rsidR="00804D40" w:rsidRPr="00F44C00">
        <w:rPr>
          <w:rFonts w:ascii="Times New Roman" w:hAnsi="Times New Roman" w:cs="Times New Roman"/>
          <w:b/>
          <w:sz w:val="24"/>
          <w:szCs w:val="24"/>
        </w:rPr>
        <w:t xml:space="preserve"> giurisdizionale</w:t>
      </w:r>
      <w:r w:rsidR="008820A9" w:rsidRPr="00F44C00">
        <w:rPr>
          <w:rFonts w:ascii="Times New Roman" w:hAnsi="Times New Roman" w:cs="Times New Roman"/>
          <w:b/>
          <w:sz w:val="24"/>
          <w:szCs w:val="24"/>
        </w:rPr>
        <w:t xml:space="preserve"> e</w:t>
      </w:r>
      <w:r w:rsidR="00CB7632" w:rsidRPr="00F44C00">
        <w:rPr>
          <w:rFonts w:ascii="Times New Roman" w:hAnsi="Times New Roman" w:cs="Times New Roman"/>
          <w:b/>
          <w:sz w:val="24"/>
          <w:szCs w:val="24"/>
        </w:rPr>
        <w:t>ffettiva del diritto d’asilo</w:t>
      </w:r>
    </w:p>
    <w:p w14:paraId="47F531E4" w14:textId="77777777" w:rsidR="00804D40" w:rsidRPr="00F44C00" w:rsidRDefault="007E4D61" w:rsidP="00804D40">
      <w:pPr>
        <w:ind w:firstLine="708"/>
        <w:jc w:val="both"/>
        <w:rPr>
          <w:rFonts w:ascii="Times New Roman" w:hAnsi="Times New Roman" w:cs="Times New Roman"/>
          <w:sz w:val="24"/>
          <w:szCs w:val="24"/>
        </w:rPr>
      </w:pPr>
      <w:r w:rsidRPr="00F44C00">
        <w:rPr>
          <w:rFonts w:ascii="Times New Roman" w:hAnsi="Times New Roman" w:cs="Times New Roman"/>
          <w:sz w:val="24"/>
          <w:szCs w:val="24"/>
        </w:rPr>
        <w:t>L’accertamento giurisdizionale della protezione internazionale</w:t>
      </w:r>
      <w:r w:rsidR="008F7754" w:rsidRPr="00F44C00">
        <w:rPr>
          <w:rFonts w:ascii="Times New Roman" w:hAnsi="Times New Roman" w:cs="Times New Roman"/>
          <w:sz w:val="24"/>
          <w:szCs w:val="24"/>
        </w:rPr>
        <w:t xml:space="preserve"> rappresenta ancora </w:t>
      </w:r>
      <w:r w:rsidR="00592855" w:rsidRPr="00F44C00">
        <w:rPr>
          <w:rFonts w:ascii="Times New Roman" w:hAnsi="Times New Roman" w:cs="Times New Roman"/>
          <w:sz w:val="24"/>
          <w:szCs w:val="24"/>
        </w:rPr>
        <w:t xml:space="preserve">una garanzia essenziale dei richiedenti </w:t>
      </w:r>
      <w:r w:rsidR="00312216" w:rsidRPr="00F44C00">
        <w:rPr>
          <w:rFonts w:ascii="Times New Roman" w:hAnsi="Times New Roman" w:cs="Times New Roman"/>
          <w:sz w:val="24"/>
          <w:szCs w:val="24"/>
        </w:rPr>
        <w:t>asilo</w:t>
      </w:r>
      <w:r w:rsidR="00592855" w:rsidRPr="00F44C00">
        <w:rPr>
          <w:rFonts w:ascii="Times New Roman" w:hAnsi="Times New Roman" w:cs="Times New Roman"/>
          <w:sz w:val="24"/>
          <w:szCs w:val="24"/>
        </w:rPr>
        <w:t xml:space="preserve">, </w:t>
      </w:r>
      <w:r w:rsidR="00312216" w:rsidRPr="00F44C00">
        <w:rPr>
          <w:rFonts w:ascii="Times New Roman" w:hAnsi="Times New Roman" w:cs="Times New Roman"/>
          <w:sz w:val="24"/>
          <w:szCs w:val="24"/>
        </w:rPr>
        <w:t xml:space="preserve">come dimostra l’esito dei ricorsi. </w:t>
      </w:r>
    </w:p>
    <w:p w14:paraId="5AB4FABD" w14:textId="63EAF63B" w:rsidR="004924D1" w:rsidRPr="00F44C00" w:rsidRDefault="00F76199" w:rsidP="00804D40">
      <w:pPr>
        <w:ind w:firstLine="708"/>
        <w:jc w:val="both"/>
        <w:rPr>
          <w:rFonts w:ascii="Times New Roman" w:hAnsi="Times New Roman" w:cs="Times New Roman"/>
          <w:sz w:val="24"/>
          <w:szCs w:val="24"/>
        </w:rPr>
      </w:pPr>
      <w:r w:rsidRPr="00F44C00">
        <w:rPr>
          <w:rFonts w:ascii="Times New Roman" w:hAnsi="Times New Roman" w:cs="Times New Roman"/>
          <w:sz w:val="24"/>
          <w:szCs w:val="24"/>
        </w:rPr>
        <w:t>I più recenti interventi legislativi</w:t>
      </w:r>
      <w:r w:rsidR="008C58F7" w:rsidRPr="00F44C00">
        <w:rPr>
          <w:rFonts w:ascii="Times New Roman" w:hAnsi="Times New Roman" w:cs="Times New Roman"/>
          <w:sz w:val="24"/>
          <w:szCs w:val="24"/>
        </w:rPr>
        <w:t xml:space="preserve"> </w:t>
      </w:r>
      <w:r w:rsidRPr="00F44C00">
        <w:rPr>
          <w:rFonts w:ascii="Times New Roman" w:hAnsi="Times New Roman" w:cs="Times New Roman"/>
          <w:sz w:val="24"/>
          <w:szCs w:val="24"/>
        </w:rPr>
        <w:t>hanno inciso profondamente sulle regole del processo</w:t>
      </w:r>
      <w:r w:rsidR="008C58F7" w:rsidRPr="00F44C00">
        <w:rPr>
          <w:rFonts w:ascii="Times New Roman" w:hAnsi="Times New Roman" w:cs="Times New Roman"/>
          <w:sz w:val="24"/>
          <w:szCs w:val="24"/>
        </w:rPr>
        <w:t xml:space="preserve">, con l’obbiettivo di accelerare la conclusione dei ricorsi giurisdizionali e contrastare il c.d. abuso del diritto di asilo. </w:t>
      </w:r>
    </w:p>
    <w:p w14:paraId="44C1E5D2" w14:textId="0F88770F" w:rsidR="002C714E" w:rsidRPr="00F44C00" w:rsidRDefault="002C714E" w:rsidP="00804D40">
      <w:pPr>
        <w:ind w:firstLine="708"/>
        <w:jc w:val="both"/>
        <w:rPr>
          <w:rFonts w:ascii="Times New Roman" w:hAnsi="Times New Roman" w:cs="Times New Roman"/>
          <w:sz w:val="24"/>
          <w:szCs w:val="24"/>
        </w:rPr>
      </w:pPr>
      <w:r w:rsidRPr="00F44C00">
        <w:rPr>
          <w:rFonts w:ascii="Times New Roman" w:hAnsi="Times New Roman" w:cs="Times New Roman"/>
          <w:sz w:val="24"/>
          <w:szCs w:val="24"/>
        </w:rPr>
        <w:t xml:space="preserve">L’abrogazione dell’appello, </w:t>
      </w:r>
      <w:r w:rsidR="00B5672E" w:rsidRPr="00F44C00">
        <w:rPr>
          <w:rFonts w:ascii="Times New Roman" w:hAnsi="Times New Roman" w:cs="Times New Roman"/>
          <w:sz w:val="24"/>
          <w:szCs w:val="24"/>
        </w:rPr>
        <w:t>la modifica della disciplina della sospensiva del ricorso in Cassazione</w:t>
      </w:r>
      <w:r w:rsidR="00501B0D" w:rsidRPr="00F44C00">
        <w:rPr>
          <w:rFonts w:ascii="Times New Roman" w:hAnsi="Times New Roman" w:cs="Times New Roman"/>
          <w:sz w:val="24"/>
          <w:szCs w:val="24"/>
        </w:rPr>
        <w:t xml:space="preserve">, la </w:t>
      </w:r>
      <w:r w:rsidR="001453BC" w:rsidRPr="00F44C00">
        <w:rPr>
          <w:rFonts w:ascii="Times New Roman" w:hAnsi="Times New Roman" w:cs="Times New Roman"/>
          <w:sz w:val="24"/>
          <w:szCs w:val="24"/>
        </w:rPr>
        <w:t xml:space="preserve">previsione della </w:t>
      </w:r>
      <w:r w:rsidR="00FA4D29" w:rsidRPr="00F44C00">
        <w:rPr>
          <w:rFonts w:ascii="Times New Roman" w:hAnsi="Times New Roman" w:cs="Times New Roman"/>
          <w:sz w:val="24"/>
          <w:szCs w:val="24"/>
        </w:rPr>
        <w:t>soppressione dell’audizione</w:t>
      </w:r>
      <w:r w:rsidR="007A23D5" w:rsidRPr="00F44C00">
        <w:rPr>
          <w:rFonts w:ascii="Times New Roman" w:hAnsi="Times New Roman" w:cs="Times New Roman"/>
          <w:sz w:val="24"/>
          <w:szCs w:val="24"/>
        </w:rPr>
        <w:t>,</w:t>
      </w:r>
      <w:r w:rsidR="007B4B7B" w:rsidRPr="00F44C00">
        <w:rPr>
          <w:rFonts w:ascii="Times New Roman" w:hAnsi="Times New Roman" w:cs="Times New Roman"/>
          <w:sz w:val="24"/>
          <w:szCs w:val="24"/>
        </w:rPr>
        <w:t xml:space="preserve"> la volontà di </w:t>
      </w:r>
      <w:r w:rsidR="007151B1" w:rsidRPr="00F44C00">
        <w:rPr>
          <w:rFonts w:ascii="Times New Roman" w:hAnsi="Times New Roman" w:cs="Times New Roman"/>
          <w:sz w:val="24"/>
          <w:szCs w:val="24"/>
        </w:rPr>
        <w:t xml:space="preserve">orientare </w:t>
      </w:r>
      <w:r w:rsidR="007B4B7B" w:rsidRPr="00F44C00">
        <w:rPr>
          <w:rFonts w:ascii="Times New Roman" w:hAnsi="Times New Roman" w:cs="Times New Roman"/>
          <w:sz w:val="24"/>
          <w:szCs w:val="24"/>
        </w:rPr>
        <w:t xml:space="preserve">le decisioni sulla base delle informazioni sul Paese di origine sempre più </w:t>
      </w:r>
      <w:r w:rsidR="007151B1" w:rsidRPr="00F44C00">
        <w:rPr>
          <w:rFonts w:ascii="Times New Roman" w:hAnsi="Times New Roman" w:cs="Times New Roman"/>
          <w:sz w:val="24"/>
          <w:szCs w:val="24"/>
        </w:rPr>
        <w:t xml:space="preserve">standardizzate </w:t>
      </w:r>
      <w:r w:rsidR="007A23D5" w:rsidRPr="00F44C00">
        <w:rPr>
          <w:rFonts w:ascii="Times New Roman" w:hAnsi="Times New Roman" w:cs="Times New Roman"/>
          <w:sz w:val="24"/>
          <w:szCs w:val="24"/>
        </w:rPr>
        <w:t xml:space="preserve">e le difficoltà di accesso al </w:t>
      </w:r>
      <w:r w:rsidR="0082352C" w:rsidRPr="00F44C00">
        <w:rPr>
          <w:rFonts w:ascii="Times New Roman" w:hAnsi="Times New Roman" w:cs="Times New Roman"/>
          <w:sz w:val="24"/>
          <w:szCs w:val="24"/>
        </w:rPr>
        <w:t xml:space="preserve">patrocinio a spese dello stato </w:t>
      </w:r>
      <w:r w:rsidR="007A23D5" w:rsidRPr="00F44C00">
        <w:rPr>
          <w:rFonts w:ascii="Times New Roman" w:hAnsi="Times New Roman" w:cs="Times New Roman"/>
          <w:sz w:val="24"/>
          <w:szCs w:val="24"/>
        </w:rPr>
        <w:t xml:space="preserve">costituiscono i principali </w:t>
      </w:r>
      <w:r w:rsidR="005A2E26" w:rsidRPr="00F44C00">
        <w:rPr>
          <w:rFonts w:ascii="Times New Roman" w:hAnsi="Times New Roman" w:cs="Times New Roman"/>
          <w:sz w:val="24"/>
          <w:szCs w:val="24"/>
        </w:rPr>
        <w:t xml:space="preserve">elementi del processo </w:t>
      </w:r>
      <w:r w:rsidR="00E340CB" w:rsidRPr="00F44C00">
        <w:rPr>
          <w:rFonts w:ascii="Times New Roman" w:hAnsi="Times New Roman" w:cs="Times New Roman"/>
          <w:sz w:val="24"/>
          <w:szCs w:val="24"/>
        </w:rPr>
        <w:t xml:space="preserve">interessati da modifiche recenti od orientamenti particolarmente restrittivi e sui quali, dunque, </w:t>
      </w:r>
      <w:r w:rsidR="005A2E26" w:rsidRPr="00F44C00">
        <w:rPr>
          <w:rFonts w:ascii="Times New Roman" w:hAnsi="Times New Roman" w:cs="Times New Roman"/>
          <w:sz w:val="24"/>
          <w:szCs w:val="24"/>
        </w:rPr>
        <w:t xml:space="preserve">si registrano le maggiori criticità. </w:t>
      </w:r>
    </w:p>
    <w:p w14:paraId="2FC56D07" w14:textId="39AEC142" w:rsidR="00F75D48" w:rsidRPr="00F44C00" w:rsidRDefault="00F75D48" w:rsidP="00804D40">
      <w:pPr>
        <w:ind w:firstLine="708"/>
        <w:jc w:val="both"/>
        <w:rPr>
          <w:rFonts w:ascii="Times New Roman" w:hAnsi="Times New Roman" w:cs="Times New Roman"/>
          <w:sz w:val="24"/>
          <w:szCs w:val="24"/>
        </w:rPr>
      </w:pPr>
      <w:r w:rsidRPr="00F44C00">
        <w:rPr>
          <w:rFonts w:ascii="Times New Roman" w:hAnsi="Times New Roman" w:cs="Times New Roman"/>
          <w:sz w:val="24"/>
          <w:szCs w:val="24"/>
        </w:rPr>
        <w:t>Nessun intervento significativo è stato invece operato sul piano dell</w:t>
      </w:r>
      <w:r w:rsidR="0072040B" w:rsidRPr="00F44C00">
        <w:rPr>
          <w:rFonts w:ascii="Times New Roman" w:hAnsi="Times New Roman" w:cs="Times New Roman"/>
          <w:sz w:val="24"/>
          <w:szCs w:val="24"/>
        </w:rPr>
        <w:t xml:space="preserve">’efficace esercizio della funzione giurisdizionale, in particolare in termini di risorse </w:t>
      </w:r>
      <w:r w:rsidR="00BD0A2E" w:rsidRPr="00F44C00">
        <w:rPr>
          <w:rFonts w:ascii="Times New Roman" w:hAnsi="Times New Roman" w:cs="Times New Roman"/>
          <w:sz w:val="24"/>
          <w:szCs w:val="24"/>
        </w:rPr>
        <w:t>destinate al processo e ai giudici ad esso dedicati. Una riflessione sul punto è invece imprescindibile ed urgente</w:t>
      </w:r>
      <w:r w:rsidR="002C714E" w:rsidRPr="00F44C00">
        <w:rPr>
          <w:rFonts w:ascii="Times New Roman" w:hAnsi="Times New Roman" w:cs="Times New Roman"/>
          <w:sz w:val="24"/>
          <w:szCs w:val="24"/>
        </w:rPr>
        <w:t>.</w:t>
      </w:r>
      <w:r w:rsidR="003A4935" w:rsidRPr="00F44C00">
        <w:rPr>
          <w:rFonts w:ascii="Times New Roman" w:hAnsi="Times New Roman" w:cs="Times New Roman"/>
          <w:sz w:val="24"/>
          <w:szCs w:val="24"/>
        </w:rPr>
        <w:t xml:space="preserve"> </w:t>
      </w:r>
    </w:p>
    <w:p w14:paraId="0038D9C5" w14:textId="014C22C4" w:rsidR="003A4935" w:rsidRPr="00F44C00" w:rsidRDefault="003A4935" w:rsidP="00804D40">
      <w:pPr>
        <w:ind w:firstLine="708"/>
        <w:jc w:val="both"/>
        <w:rPr>
          <w:rFonts w:ascii="Times New Roman" w:hAnsi="Times New Roman" w:cs="Times New Roman"/>
          <w:sz w:val="24"/>
          <w:szCs w:val="24"/>
        </w:rPr>
      </w:pPr>
      <w:r w:rsidRPr="00F44C00">
        <w:rPr>
          <w:rFonts w:ascii="Times New Roman" w:hAnsi="Times New Roman" w:cs="Times New Roman"/>
          <w:sz w:val="24"/>
          <w:szCs w:val="24"/>
        </w:rPr>
        <w:t>In questo quadro</w:t>
      </w:r>
      <w:r w:rsidR="0001234B" w:rsidRPr="00F44C00">
        <w:rPr>
          <w:rFonts w:ascii="Times New Roman" w:hAnsi="Times New Roman" w:cs="Times New Roman"/>
          <w:sz w:val="24"/>
          <w:szCs w:val="24"/>
        </w:rPr>
        <w:t>,</w:t>
      </w:r>
      <w:r w:rsidRPr="00F44C00">
        <w:rPr>
          <w:rFonts w:ascii="Times New Roman" w:hAnsi="Times New Roman" w:cs="Times New Roman"/>
          <w:sz w:val="24"/>
          <w:szCs w:val="24"/>
        </w:rPr>
        <w:t xml:space="preserve"> </w:t>
      </w:r>
      <w:r w:rsidR="00D120FC" w:rsidRPr="00F44C00">
        <w:rPr>
          <w:rFonts w:ascii="Times New Roman" w:hAnsi="Times New Roman" w:cs="Times New Roman"/>
          <w:sz w:val="24"/>
          <w:szCs w:val="24"/>
        </w:rPr>
        <w:t>anche l’utilizzo degli strumenti normalmente attivabili dal giudice</w:t>
      </w:r>
      <w:r w:rsidR="0020244E" w:rsidRPr="00F44C00">
        <w:rPr>
          <w:rFonts w:ascii="Times New Roman" w:hAnsi="Times New Roman" w:cs="Times New Roman"/>
          <w:sz w:val="24"/>
          <w:szCs w:val="24"/>
        </w:rPr>
        <w:t xml:space="preserve"> in altre materie</w:t>
      </w:r>
      <w:r w:rsidR="00D120FC" w:rsidRPr="00F44C00">
        <w:rPr>
          <w:rFonts w:ascii="Times New Roman" w:hAnsi="Times New Roman" w:cs="Times New Roman"/>
          <w:sz w:val="24"/>
          <w:szCs w:val="24"/>
        </w:rPr>
        <w:t>, come le</w:t>
      </w:r>
      <w:r w:rsidR="0082352C" w:rsidRPr="00F44C00">
        <w:rPr>
          <w:rFonts w:ascii="Times New Roman" w:hAnsi="Times New Roman" w:cs="Times New Roman"/>
          <w:sz w:val="24"/>
          <w:szCs w:val="24"/>
        </w:rPr>
        <w:t xml:space="preserve"> consulenze</w:t>
      </w:r>
      <w:r w:rsidR="0001234B" w:rsidRPr="00F44C00">
        <w:rPr>
          <w:rFonts w:ascii="Times New Roman" w:hAnsi="Times New Roman" w:cs="Times New Roman"/>
          <w:sz w:val="24"/>
          <w:szCs w:val="24"/>
        </w:rPr>
        <w:t xml:space="preserve"> e l’intervento di esperti (soprattutto antropologi e traduttori qualificati) </w:t>
      </w:r>
      <w:r w:rsidR="0020244E" w:rsidRPr="00F44C00">
        <w:rPr>
          <w:rFonts w:ascii="Times New Roman" w:hAnsi="Times New Roman" w:cs="Times New Roman"/>
          <w:sz w:val="24"/>
          <w:szCs w:val="24"/>
        </w:rPr>
        <w:lastRenderedPageBreak/>
        <w:t xml:space="preserve">difficilmente </w:t>
      </w:r>
      <w:r w:rsidR="003F78CC" w:rsidRPr="00F44C00">
        <w:rPr>
          <w:rFonts w:ascii="Times New Roman" w:hAnsi="Times New Roman" w:cs="Times New Roman"/>
          <w:sz w:val="24"/>
          <w:szCs w:val="24"/>
        </w:rPr>
        <w:t>sono impiegati nella materia della protezione. E ciò nonostante che tali strumenti sarebbero in taluni casi cruciali per adiuvare il giudice nella sua valutazione, in particolare relativamente alla credibilità del richiedente protezione internazionale che</w:t>
      </w:r>
      <w:r w:rsidR="00DF370D" w:rsidRPr="00F44C00">
        <w:rPr>
          <w:rFonts w:ascii="Times New Roman" w:hAnsi="Times New Roman" w:cs="Times New Roman"/>
          <w:sz w:val="24"/>
          <w:szCs w:val="24"/>
        </w:rPr>
        <w:t xml:space="preserve">, in mancanza di prove documentali o di altro genere, </w:t>
      </w:r>
      <w:r w:rsidR="003F78CC" w:rsidRPr="00F44C00">
        <w:rPr>
          <w:rFonts w:ascii="Times New Roman" w:hAnsi="Times New Roman" w:cs="Times New Roman"/>
          <w:sz w:val="24"/>
          <w:szCs w:val="24"/>
        </w:rPr>
        <w:t xml:space="preserve">costituisce </w:t>
      </w:r>
      <w:r w:rsidR="00DF370D" w:rsidRPr="00F44C00">
        <w:rPr>
          <w:rFonts w:ascii="Times New Roman" w:hAnsi="Times New Roman" w:cs="Times New Roman"/>
          <w:sz w:val="24"/>
          <w:szCs w:val="24"/>
        </w:rPr>
        <w:t>l’elemento centrale nella definizione del giudizio.</w:t>
      </w:r>
    </w:p>
    <w:p w14:paraId="18E86BC4" w14:textId="0A8F9D53" w:rsidR="006A7B8B" w:rsidRPr="00F44C00" w:rsidRDefault="00DC203D" w:rsidP="00804D40">
      <w:pPr>
        <w:ind w:firstLine="708"/>
        <w:jc w:val="both"/>
        <w:rPr>
          <w:rFonts w:ascii="Times New Roman" w:hAnsi="Times New Roman" w:cs="Times New Roman"/>
          <w:sz w:val="24"/>
          <w:szCs w:val="24"/>
        </w:rPr>
      </w:pPr>
      <w:r w:rsidRPr="00F44C00">
        <w:rPr>
          <w:rFonts w:ascii="Times New Roman" w:hAnsi="Times New Roman" w:cs="Times New Roman"/>
          <w:sz w:val="24"/>
          <w:szCs w:val="24"/>
        </w:rPr>
        <w:t xml:space="preserve"> </w:t>
      </w:r>
      <w:r w:rsidR="008C685D" w:rsidRPr="00F44C00">
        <w:rPr>
          <w:rFonts w:ascii="Times New Roman" w:hAnsi="Times New Roman" w:cs="Times New Roman"/>
          <w:sz w:val="24"/>
          <w:szCs w:val="24"/>
        </w:rPr>
        <w:t xml:space="preserve"> </w:t>
      </w:r>
    </w:p>
    <w:sectPr w:rsidR="006A7B8B" w:rsidRPr="00F44C00">
      <w:headerReference w:type="even" r:id="rId13"/>
      <w:headerReference w:type="default" r:id="rId14"/>
      <w:footerReference w:type="even" r:id="rId15"/>
      <w:footerReference w:type="default" r:id="rId16"/>
      <w:headerReference w:type="first" r:id="rId17"/>
      <w:footerReference w:type="first" r:id="rId1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CA2CC" w14:textId="77777777" w:rsidR="00C15E04" w:rsidRDefault="00C15E04" w:rsidP="009A203D">
      <w:pPr>
        <w:spacing w:after="0" w:line="240" w:lineRule="auto"/>
      </w:pPr>
      <w:r>
        <w:separator/>
      </w:r>
    </w:p>
  </w:endnote>
  <w:endnote w:type="continuationSeparator" w:id="0">
    <w:p w14:paraId="56054183" w14:textId="77777777" w:rsidR="00C15E04" w:rsidRDefault="00C15E04" w:rsidP="009A2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E9279" w14:textId="77777777" w:rsidR="0082352C" w:rsidRDefault="0082352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2686175"/>
      <w:docPartObj>
        <w:docPartGallery w:val="Page Numbers (Bottom of Page)"/>
        <w:docPartUnique/>
      </w:docPartObj>
    </w:sdtPr>
    <w:sdtEndPr/>
    <w:sdtContent>
      <w:p w14:paraId="540796E8" w14:textId="0BE0734A" w:rsidR="0082352C" w:rsidRDefault="0082352C">
        <w:pPr>
          <w:pStyle w:val="Pidipagina"/>
          <w:jc w:val="right"/>
        </w:pPr>
        <w:r>
          <w:fldChar w:fldCharType="begin"/>
        </w:r>
        <w:r>
          <w:instrText>PAGE   \* MERGEFORMAT</w:instrText>
        </w:r>
        <w:r>
          <w:fldChar w:fldCharType="separate"/>
        </w:r>
        <w:r w:rsidR="00CE26E1">
          <w:rPr>
            <w:noProof/>
          </w:rPr>
          <w:t>1</w:t>
        </w:r>
        <w:r>
          <w:fldChar w:fldCharType="end"/>
        </w:r>
      </w:p>
    </w:sdtContent>
  </w:sdt>
  <w:p w14:paraId="13C8A39A" w14:textId="77777777" w:rsidR="0082352C" w:rsidRDefault="0082352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E86BC" w14:textId="77777777" w:rsidR="0082352C" w:rsidRDefault="008235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9881F" w14:textId="77777777" w:rsidR="00C15E04" w:rsidRDefault="00C15E04" w:rsidP="009A203D">
      <w:pPr>
        <w:spacing w:after="0" w:line="240" w:lineRule="auto"/>
      </w:pPr>
      <w:r>
        <w:separator/>
      </w:r>
    </w:p>
  </w:footnote>
  <w:footnote w:type="continuationSeparator" w:id="0">
    <w:p w14:paraId="2A91B6B3" w14:textId="77777777" w:rsidR="00C15E04" w:rsidRDefault="00C15E04" w:rsidP="009A20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0F955" w14:textId="77777777" w:rsidR="0082352C" w:rsidRDefault="0082352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04EB7" w14:textId="77777777" w:rsidR="0082352C" w:rsidRDefault="0082352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D4F30" w14:textId="77777777" w:rsidR="0082352C" w:rsidRDefault="0082352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35F94"/>
    <w:multiLevelType w:val="hybridMultilevel"/>
    <w:tmpl w:val="2C66CF12"/>
    <w:lvl w:ilvl="0" w:tplc="4A9CB5BA">
      <w:numFmt w:val="bullet"/>
      <w:lvlText w:val="-"/>
      <w:lvlJc w:val="left"/>
      <w:pPr>
        <w:ind w:left="1068" w:hanging="360"/>
      </w:pPr>
      <w:rPr>
        <w:rFonts w:ascii="Calibri" w:eastAsiaTheme="minorHAnsi" w:hAnsi="Calibri"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15:restartNumberingAfterBreak="0">
    <w:nsid w:val="50242EA9"/>
    <w:multiLevelType w:val="hybridMultilevel"/>
    <w:tmpl w:val="83AAB422"/>
    <w:lvl w:ilvl="0" w:tplc="27D0C992">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6BA64DA"/>
    <w:multiLevelType w:val="hybridMultilevel"/>
    <w:tmpl w:val="DB561DAE"/>
    <w:lvl w:ilvl="0" w:tplc="3522A260">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AE37CC5"/>
    <w:multiLevelType w:val="hybridMultilevel"/>
    <w:tmpl w:val="BFB2AE3A"/>
    <w:lvl w:ilvl="0" w:tplc="8D2A1EDE">
      <w:start w:val="1"/>
      <w:numFmt w:val="bullet"/>
      <w:lvlText w:val="•"/>
      <w:lvlJc w:val="left"/>
      <w:pPr>
        <w:tabs>
          <w:tab w:val="num" w:pos="720"/>
        </w:tabs>
        <w:ind w:left="720" w:hanging="360"/>
      </w:pPr>
      <w:rPr>
        <w:rFonts w:ascii="Arial" w:hAnsi="Arial" w:hint="default"/>
      </w:rPr>
    </w:lvl>
    <w:lvl w:ilvl="1" w:tplc="7A5E0656" w:tentative="1">
      <w:start w:val="1"/>
      <w:numFmt w:val="bullet"/>
      <w:lvlText w:val="•"/>
      <w:lvlJc w:val="left"/>
      <w:pPr>
        <w:tabs>
          <w:tab w:val="num" w:pos="1440"/>
        </w:tabs>
        <w:ind w:left="1440" w:hanging="360"/>
      </w:pPr>
      <w:rPr>
        <w:rFonts w:ascii="Arial" w:hAnsi="Arial" w:hint="default"/>
      </w:rPr>
    </w:lvl>
    <w:lvl w:ilvl="2" w:tplc="75F6EB0A" w:tentative="1">
      <w:start w:val="1"/>
      <w:numFmt w:val="bullet"/>
      <w:lvlText w:val="•"/>
      <w:lvlJc w:val="left"/>
      <w:pPr>
        <w:tabs>
          <w:tab w:val="num" w:pos="2160"/>
        </w:tabs>
        <w:ind w:left="2160" w:hanging="360"/>
      </w:pPr>
      <w:rPr>
        <w:rFonts w:ascii="Arial" w:hAnsi="Arial" w:hint="default"/>
      </w:rPr>
    </w:lvl>
    <w:lvl w:ilvl="3" w:tplc="76A61A74" w:tentative="1">
      <w:start w:val="1"/>
      <w:numFmt w:val="bullet"/>
      <w:lvlText w:val="•"/>
      <w:lvlJc w:val="left"/>
      <w:pPr>
        <w:tabs>
          <w:tab w:val="num" w:pos="2880"/>
        </w:tabs>
        <w:ind w:left="2880" w:hanging="360"/>
      </w:pPr>
      <w:rPr>
        <w:rFonts w:ascii="Arial" w:hAnsi="Arial" w:hint="default"/>
      </w:rPr>
    </w:lvl>
    <w:lvl w:ilvl="4" w:tplc="4C0E3A98" w:tentative="1">
      <w:start w:val="1"/>
      <w:numFmt w:val="bullet"/>
      <w:lvlText w:val="•"/>
      <w:lvlJc w:val="left"/>
      <w:pPr>
        <w:tabs>
          <w:tab w:val="num" w:pos="3600"/>
        </w:tabs>
        <w:ind w:left="3600" w:hanging="360"/>
      </w:pPr>
      <w:rPr>
        <w:rFonts w:ascii="Arial" w:hAnsi="Arial" w:hint="default"/>
      </w:rPr>
    </w:lvl>
    <w:lvl w:ilvl="5" w:tplc="68D89C70" w:tentative="1">
      <w:start w:val="1"/>
      <w:numFmt w:val="bullet"/>
      <w:lvlText w:val="•"/>
      <w:lvlJc w:val="left"/>
      <w:pPr>
        <w:tabs>
          <w:tab w:val="num" w:pos="4320"/>
        </w:tabs>
        <w:ind w:left="4320" w:hanging="360"/>
      </w:pPr>
      <w:rPr>
        <w:rFonts w:ascii="Arial" w:hAnsi="Arial" w:hint="default"/>
      </w:rPr>
    </w:lvl>
    <w:lvl w:ilvl="6" w:tplc="ED961DDC" w:tentative="1">
      <w:start w:val="1"/>
      <w:numFmt w:val="bullet"/>
      <w:lvlText w:val="•"/>
      <w:lvlJc w:val="left"/>
      <w:pPr>
        <w:tabs>
          <w:tab w:val="num" w:pos="5040"/>
        </w:tabs>
        <w:ind w:left="5040" w:hanging="360"/>
      </w:pPr>
      <w:rPr>
        <w:rFonts w:ascii="Arial" w:hAnsi="Arial" w:hint="default"/>
      </w:rPr>
    </w:lvl>
    <w:lvl w:ilvl="7" w:tplc="0A0CEA44" w:tentative="1">
      <w:start w:val="1"/>
      <w:numFmt w:val="bullet"/>
      <w:lvlText w:val="•"/>
      <w:lvlJc w:val="left"/>
      <w:pPr>
        <w:tabs>
          <w:tab w:val="num" w:pos="5760"/>
        </w:tabs>
        <w:ind w:left="5760" w:hanging="360"/>
      </w:pPr>
      <w:rPr>
        <w:rFonts w:ascii="Arial" w:hAnsi="Arial" w:hint="default"/>
      </w:rPr>
    </w:lvl>
    <w:lvl w:ilvl="8" w:tplc="C048F9E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879269D"/>
    <w:multiLevelType w:val="hybridMultilevel"/>
    <w:tmpl w:val="1C8C97C2"/>
    <w:lvl w:ilvl="0" w:tplc="4724980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FD45E0F"/>
    <w:multiLevelType w:val="hybridMultilevel"/>
    <w:tmpl w:val="504028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82B687E"/>
    <w:multiLevelType w:val="hybridMultilevel"/>
    <w:tmpl w:val="DF52F284"/>
    <w:lvl w:ilvl="0" w:tplc="74FC6DF8">
      <w:start w:val="1"/>
      <w:numFmt w:val="bullet"/>
      <w:lvlText w:val="•"/>
      <w:lvlJc w:val="left"/>
      <w:pPr>
        <w:tabs>
          <w:tab w:val="num" w:pos="720"/>
        </w:tabs>
        <w:ind w:left="720" w:hanging="360"/>
      </w:pPr>
      <w:rPr>
        <w:rFonts w:ascii="Arial" w:hAnsi="Arial" w:hint="default"/>
      </w:rPr>
    </w:lvl>
    <w:lvl w:ilvl="1" w:tplc="4BCC4456" w:tentative="1">
      <w:start w:val="1"/>
      <w:numFmt w:val="bullet"/>
      <w:lvlText w:val="•"/>
      <w:lvlJc w:val="left"/>
      <w:pPr>
        <w:tabs>
          <w:tab w:val="num" w:pos="1440"/>
        </w:tabs>
        <w:ind w:left="1440" w:hanging="360"/>
      </w:pPr>
      <w:rPr>
        <w:rFonts w:ascii="Arial" w:hAnsi="Arial" w:hint="default"/>
      </w:rPr>
    </w:lvl>
    <w:lvl w:ilvl="2" w:tplc="137CDFFE" w:tentative="1">
      <w:start w:val="1"/>
      <w:numFmt w:val="bullet"/>
      <w:lvlText w:val="•"/>
      <w:lvlJc w:val="left"/>
      <w:pPr>
        <w:tabs>
          <w:tab w:val="num" w:pos="2160"/>
        </w:tabs>
        <w:ind w:left="2160" w:hanging="360"/>
      </w:pPr>
      <w:rPr>
        <w:rFonts w:ascii="Arial" w:hAnsi="Arial" w:hint="default"/>
      </w:rPr>
    </w:lvl>
    <w:lvl w:ilvl="3" w:tplc="93D4C5A4" w:tentative="1">
      <w:start w:val="1"/>
      <w:numFmt w:val="bullet"/>
      <w:lvlText w:val="•"/>
      <w:lvlJc w:val="left"/>
      <w:pPr>
        <w:tabs>
          <w:tab w:val="num" w:pos="2880"/>
        </w:tabs>
        <w:ind w:left="2880" w:hanging="360"/>
      </w:pPr>
      <w:rPr>
        <w:rFonts w:ascii="Arial" w:hAnsi="Arial" w:hint="default"/>
      </w:rPr>
    </w:lvl>
    <w:lvl w:ilvl="4" w:tplc="E2043F04" w:tentative="1">
      <w:start w:val="1"/>
      <w:numFmt w:val="bullet"/>
      <w:lvlText w:val="•"/>
      <w:lvlJc w:val="left"/>
      <w:pPr>
        <w:tabs>
          <w:tab w:val="num" w:pos="3600"/>
        </w:tabs>
        <w:ind w:left="3600" w:hanging="360"/>
      </w:pPr>
      <w:rPr>
        <w:rFonts w:ascii="Arial" w:hAnsi="Arial" w:hint="default"/>
      </w:rPr>
    </w:lvl>
    <w:lvl w:ilvl="5" w:tplc="F77A91A2" w:tentative="1">
      <w:start w:val="1"/>
      <w:numFmt w:val="bullet"/>
      <w:lvlText w:val="•"/>
      <w:lvlJc w:val="left"/>
      <w:pPr>
        <w:tabs>
          <w:tab w:val="num" w:pos="4320"/>
        </w:tabs>
        <w:ind w:left="4320" w:hanging="360"/>
      </w:pPr>
      <w:rPr>
        <w:rFonts w:ascii="Arial" w:hAnsi="Arial" w:hint="default"/>
      </w:rPr>
    </w:lvl>
    <w:lvl w:ilvl="6" w:tplc="8200D35E" w:tentative="1">
      <w:start w:val="1"/>
      <w:numFmt w:val="bullet"/>
      <w:lvlText w:val="•"/>
      <w:lvlJc w:val="left"/>
      <w:pPr>
        <w:tabs>
          <w:tab w:val="num" w:pos="5040"/>
        </w:tabs>
        <w:ind w:left="5040" w:hanging="360"/>
      </w:pPr>
      <w:rPr>
        <w:rFonts w:ascii="Arial" w:hAnsi="Arial" w:hint="default"/>
      </w:rPr>
    </w:lvl>
    <w:lvl w:ilvl="7" w:tplc="5F9C7DCA" w:tentative="1">
      <w:start w:val="1"/>
      <w:numFmt w:val="bullet"/>
      <w:lvlText w:val="•"/>
      <w:lvlJc w:val="left"/>
      <w:pPr>
        <w:tabs>
          <w:tab w:val="num" w:pos="5760"/>
        </w:tabs>
        <w:ind w:left="5760" w:hanging="360"/>
      </w:pPr>
      <w:rPr>
        <w:rFonts w:ascii="Arial" w:hAnsi="Arial" w:hint="default"/>
      </w:rPr>
    </w:lvl>
    <w:lvl w:ilvl="8" w:tplc="0F48B328"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6"/>
  </w:num>
  <w:num w:numId="3">
    <w:abstractNumId w:val="3"/>
  </w:num>
  <w:num w:numId="4">
    <w:abstractNumId w:val="0"/>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F9"/>
    <w:rsid w:val="00010F51"/>
    <w:rsid w:val="0001234B"/>
    <w:rsid w:val="001118F9"/>
    <w:rsid w:val="00112497"/>
    <w:rsid w:val="001453BC"/>
    <w:rsid w:val="0019556D"/>
    <w:rsid w:val="001A53D9"/>
    <w:rsid w:val="001C4FBC"/>
    <w:rsid w:val="0020244E"/>
    <w:rsid w:val="002304C4"/>
    <w:rsid w:val="002B5B48"/>
    <w:rsid w:val="002C20C2"/>
    <w:rsid w:val="002C465D"/>
    <w:rsid w:val="002C714E"/>
    <w:rsid w:val="002E51BD"/>
    <w:rsid w:val="002F5ECD"/>
    <w:rsid w:val="00312216"/>
    <w:rsid w:val="00315265"/>
    <w:rsid w:val="0031540E"/>
    <w:rsid w:val="0031776D"/>
    <w:rsid w:val="00327CC2"/>
    <w:rsid w:val="003864D2"/>
    <w:rsid w:val="00387CB3"/>
    <w:rsid w:val="003A4935"/>
    <w:rsid w:val="003C4DC1"/>
    <w:rsid w:val="003D28E4"/>
    <w:rsid w:val="003F2367"/>
    <w:rsid w:val="003F78CC"/>
    <w:rsid w:val="00421C2E"/>
    <w:rsid w:val="00441172"/>
    <w:rsid w:val="00460708"/>
    <w:rsid w:val="004727F4"/>
    <w:rsid w:val="00485662"/>
    <w:rsid w:val="004879DE"/>
    <w:rsid w:val="004924D1"/>
    <w:rsid w:val="004C7C8C"/>
    <w:rsid w:val="004F0C6F"/>
    <w:rsid w:val="00501B0D"/>
    <w:rsid w:val="00506429"/>
    <w:rsid w:val="0050681C"/>
    <w:rsid w:val="0053500D"/>
    <w:rsid w:val="00554BB7"/>
    <w:rsid w:val="005666FB"/>
    <w:rsid w:val="00592855"/>
    <w:rsid w:val="005A280C"/>
    <w:rsid w:val="005A2E26"/>
    <w:rsid w:val="005E3B5D"/>
    <w:rsid w:val="00630D25"/>
    <w:rsid w:val="00643A29"/>
    <w:rsid w:val="006503D2"/>
    <w:rsid w:val="00670BA7"/>
    <w:rsid w:val="00681E54"/>
    <w:rsid w:val="006A16B2"/>
    <w:rsid w:val="006A6A8D"/>
    <w:rsid w:val="006A7B8B"/>
    <w:rsid w:val="006C2774"/>
    <w:rsid w:val="006D60FA"/>
    <w:rsid w:val="006E56EC"/>
    <w:rsid w:val="007151B1"/>
    <w:rsid w:val="0072040B"/>
    <w:rsid w:val="0072375E"/>
    <w:rsid w:val="007459F6"/>
    <w:rsid w:val="0077006B"/>
    <w:rsid w:val="00773C72"/>
    <w:rsid w:val="0077478F"/>
    <w:rsid w:val="007832A2"/>
    <w:rsid w:val="007A23D5"/>
    <w:rsid w:val="007B221C"/>
    <w:rsid w:val="007B4B7B"/>
    <w:rsid w:val="007D3963"/>
    <w:rsid w:val="007E4D61"/>
    <w:rsid w:val="0080405C"/>
    <w:rsid w:val="00804D40"/>
    <w:rsid w:val="0081475D"/>
    <w:rsid w:val="00817C36"/>
    <w:rsid w:val="00821975"/>
    <w:rsid w:val="0082352C"/>
    <w:rsid w:val="00827607"/>
    <w:rsid w:val="00844B04"/>
    <w:rsid w:val="00880BA7"/>
    <w:rsid w:val="008820A9"/>
    <w:rsid w:val="0088705F"/>
    <w:rsid w:val="008B01EE"/>
    <w:rsid w:val="008C05EB"/>
    <w:rsid w:val="008C10CC"/>
    <w:rsid w:val="008C58F7"/>
    <w:rsid w:val="008C685D"/>
    <w:rsid w:val="008D3145"/>
    <w:rsid w:val="008F4A75"/>
    <w:rsid w:val="008F65E2"/>
    <w:rsid w:val="008F7754"/>
    <w:rsid w:val="009A203D"/>
    <w:rsid w:val="00A06298"/>
    <w:rsid w:val="00A06FD1"/>
    <w:rsid w:val="00A11723"/>
    <w:rsid w:val="00A74749"/>
    <w:rsid w:val="00AB1E52"/>
    <w:rsid w:val="00AB49EC"/>
    <w:rsid w:val="00B15E10"/>
    <w:rsid w:val="00B21EA8"/>
    <w:rsid w:val="00B37221"/>
    <w:rsid w:val="00B478AB"/>
    <w:rsid w:val="00B5672E"/>
    <w:rsid w:val="00B74C30"/>
    <w:rsid w:val="00B77687"/>
    <w:rsid w:val="00B84B41"/>
    <w:rsid w:val="00BA2442"/>
    <w:rsid w:val="00BD0A2E"/>
    <w:rsid w:val="00BD0F76"/>
    <w:rsid w:val="00C15E04"/>
    <w:rsid w:val="00C166E1"/>
    <w:rsid w:val="00C550DE"/>
    <w:rsid w:val="00C7665C"/>
    <w:rsid w:val="00CA1F59"/>
    <w:rsid w:val="00CB6AEE"/>
    <w:rsid w:val="00CB7632"/>
    <w:rsid w:val="00CD3515"/>
    <w:rsid w:val="00CE26E1"/>
    <w:rsid w:val="00CE4D62"/>
    <w:rsid w:val="00CF3792"/>
    <w:rsid w:val="00CF7C01"/>
    <w:rsid w:val="00D06ADB"/>
    <w:rsid w:val="00D120FC"/>
    <w:rsid w:val="00D63E94"/>
    <w:rsid w:val="00D8154F"/>
    <w:rsid w:val="00D93297"/>
    <w:rsid w:val="00DC203D"/>
    <w:rsid w:val="00DC6BEB"/>
    <w:rsid w:val="00DD50C5"/>
    <w:rsid w:val="00DD5D2C"/>
    <w:rsid w:val="00DF370D"/>
    <w:rsid w:val="00E11D4C"/>
    <w:rsid w:val="00E340CB"/>
    <w:rsid w:val="00E422AD"/>
    <w:rsid w:val="00E524F9"/>
    <w:rsid w:val="00E70C88"/>
    <w:rsid w:val="00EC6289"/>
    <w:rsid w:val="00F014B1"/>
    <w:rsid w:val="00F15DD1"/>
    <w:rsid w:val="00F32270"/>
    <w:rsid w:val="00F41EA8"/>
    <w:rsid w:val="00F42763"/>
    <w:rsid w:val="00F42830"/>
    <w:rsid w:val="00F44C00"/>
    <w:rsid w:val="00F75D48"/>
    <w:rsid w:val="00F76199"/>
    <w:rsid w:val="00F8306B"/>
    <w:rsid w:val="00F856D9"/>
    <w:rsid w:val="00FA4D29"/>
    <w:rsid w:val="00FF3A5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E7C374"/>
  <w15:docId w15:val="{D885DAC1-53B5-4520-BD57-D3158DBD9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0405C"/>
    <w:pPr>
      <w:ind w:left="720"/>
      <w:contextualSpacing/>
    </w:pPr>
  </w:style>
  <w:style w:type="paragraph" w:styleId="Intestazione">
    <w:name w:val="header"/>
    <w:basedOn w:val="Normale"/>
    <w:link w:val="IntestazioneCarattere"/>
    <w:uiPriority w:val="99"/>
    <w:unhideWhenUsed/>
    <w:rsid w:val="009A203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A203D"/>
  </w:style>
  <w:style w:type="paragraph" w:styleId="Pidipagina">
    <w:name w:val="footer"/>
    <w:basedOn w:val="Normale"/>
    <w:link w:val="PidipaginaCarattere"/>
    <w:uiPriority w:val="99"/>
    <w:unhideWhenUsed/>
    <w:rsid w:val="009A203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A203D"/>
  </w:style>
  <w:style w:type="character" w:styleId="Rimandocommento">
    <w:name w:val="annotation reference"/>
    <w:basedOn w:val="Carpredefinitoparagrafo"/>
    <w:uiPriority w:val="99"/>
    <w:semiHidden/>
    <w:unhideWhenUsed/>
    <w:rsid w:val="002E51BD"/>
    <w:rPr>
      <w:sz w:val="18"/>
      <w:szCs w:val="18"/>
    </w:rPr>
  </w:style>
  <w:style w:type="paragraph" w:styleId="Testocommento">
    <w:name w:val="annotation text"/>
    <w:basedOn w:val="Normale"/>
    <w:link w:val="TestocommentoCarattere"/>
    <w:uiPriority w:val="99"/>
    <w:semiHidden/>
    <w:unhideWhenUsed/>
    <w:rsid w:val="002E51BD"/>
    <w:pPr>
      <w:spacing w:line="240" w:lineRule="auto"/>
    </w:pPr>
    <w:rPr>
      <w:sz w:val="24"/>
      <w:szCs w:val="24"/>
    </w:rPr>
  </w:style>
  <w:style w:type="character" w:customStyle="1" w:styleId="TestocommentoCarattere">
    <w:name w:val="Testo commento Carattere"/>
    <w:basedOn w:val="Carpredefinitoparagrafo"/>
    <w:link w:val="Testocommento"/>
    <w:uiPriority w:val="99"/>
    <w:semiHidden/>
    <w:rsid w:val="002E51BD"/>
    <w:rPr>
      <w:sz w:val="24"/>
      <w:szCs w:val="24"/>
    </w:rPr>
  </w:style>
  <w:style w:type="paragraph" w:styleId="Soggettocommento">
    <w:name w:val="annotation subject"/>
    <w:basedOn w:val="Testocommento"/>
    <w:next w:val="Testocommento"/>
    <w:link w:val="SoggettocommentoCarattere"/>
    <w:uiPriority w:val="99"/>
    <w:semiHidden/>
    <w:unhideWhenUsed/>
    <w:rsid w:val="002E51BD"/>
    <w:rPr>
      <w:b/>
      <w:bCs/>
      <w:sz w:val="20"/>
      <w:szCs w:val="20"/>
    </w:rPr>
  </w:style>
  <w:style w:type="character" w:customStyle="1" w:styleId="SoggettocommentoCarattere">
    <w:name w:val="Soggetto commento Carattere"/>
    <w:basedOn w:val="TestocommentoCarattere"/>
    <w:link w:val="Soggettocommento"/>
    <w:uiPriority w:val="99"/>
    <w:semiHidden/>
    <w:rsid w:val="002E51BD"/>
    <w:rPr>
      <w:b/>
      <w:bCs/>
      <w:sz w:val="20"/>
      <w:szCs w:val="20"/>
    </w:rPr>
  </w:style>
  <w:style w:type="paragraph" w:styleId="Testofumetto">
    <w:name w:val="Balloon Text"/>
    <w:basedOn w:val="Normale"/>
    <w:link w:val="TestofumettoCarattere"/>
    <w:uiPriority w:val="99"/>
    <w:semiHidden/>
    <w:unhideWhenUsed/>
    <w:rsid w:val="002E51BD"/>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2E51BD"/>
    <w:rPr>
      <w:rFonts w:ascii="Lucida Grande" w:hAnsi="Lucida Grande" w:cs="Lucida Grande"/>
      <w:sz w:val="18"/>
      <w:szCs w:val="18"/>
    </w:rPr>
  </w:style>
  <w:style w:type="character" w:styleId="Collegamentoipertestuale">
    <w:name w:val="Hyperlink"/>
    <w:uiPriority w:val="99"/>
    <w:unhideWhenUsed/>
    <w:rsid w:val="00B478AB"/>
    <w:rPr>
      <w:color w:val="0000FF"/>
      <w:u w:val="single"/>
    </w:rPr>
  </w:style>
  <w:style w:type="paragraph" w:styleId="NormaleWeb">
    <w:name w:val="Normal (Web)"/>
    <w:basedOn w:val="Normale"/>
    <w:uiPriority w:val="99"/>
    <w:semiHidden/>
    <w:unhideWhenUsed/>
    <w:rsid w:val="00B478A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B478AB"/>
    <w:rPr>
      <w:color w:val="605E5C"/>
      <w:shd w:val="clear" w:color="auto" w:fill="E1DFDD"/>
    </w:rPr>
  </w:style>
  <w:style w:type="paragraph" w:styleId="Testonotaapidipagina">
    <w:name w:val="footnote text"/>
    <w:basedOn w:val="Normale"/>
    <w:link w:val="TestonotaapidipaginaCarattere"/>
    <w:uiPriority w:val="99"/>
    <w:semiHidden/>
    <w:unhideWhenUsed/>
    <w:rsid w:val="00B478A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478AB"/>
    <w:rPr>
      <w:sz w:val="20"/>
      <w:szCs w:val="20"/>
    </w:rPr>
  </w:style>
  <w:style w:type="character" w:styleId="Rimandonotaapidipagina">
    <w:name w:val="footnote reference"/>
    <w:basedOn w:val="Carpredefinitoparagrafo"/>
    <w:uiPriority w:val="99"/>
    <w:semiHidden/>
    <w:unhideWhenUsed/>
    <w:rsid w:val="00B478AB"/>
    <w:rPr>
      <w:vertAlign w:val="superscript"/>
    </w:rPr>
  </w:style>
  <w:style w:type="character" w:styleId="Collegamentovisitato">
    <w:name w:val="FollowedHyperlink"/>
    <w:basedOn w:val="Carpredefinitoparagrafo"/>
    <w:uiPriority w:val="99"/>
    <w:semiHidden/>
    <w:unhideWhenUsed/>
    <w:rsid w:val="00A062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249606">
      <w:bodyDiv w:val="1"/>
      <w:marLeft w:val="0"/>
      <w:marRight w:val="0"/>
      <w:marTop w:val="0"/>
      <w:marBottom w:val="0"/>
      <w:divBdr>
        <w:top w:val="none" w:sz="0" w:space="0" w:color="auto"/>
        <w:left w:val="none" w:sz="0" w:space="0" w:color="auto"/>
        <w:bottom w:val="none" w:sz="0" w:space="0" w:color="auto"/>
        <w:right w:val="none" w:sz="0" w:space="0" w:color="auto"/>
      </w:divBdr>
      <w:divsChild>
        <w:div w:id="1327972330">
          <w:marLeft w:val="360"/>
          <w:marRight w:val="0"/>
          <w:marTop w:val="200"/>
          <w:marBottom w:val="0"/>
          <w:divBdr>
            <w:top w:val="none" w:sz="0" w:space="0" w:color="auto"/>
            <w:left w:val="none" w:sz="0" w:space="0" w:color="auto"/>
            <w:bottom w:val="none" w:sz="0" w:space="0" w:color="auto"/>
            <w:right w:val="none" w:sz="0" w:space="0" w:color="auto"/>
          </w:divBdr>
        </w:div>
      </w:divsChild>
    </w:div>
    <w:div w:id="1114708726">
      <w:bodyDiv w:val="1"/>
      <w:marLeft w:val="0"/>
      <w:marRight w:val="0"/>
      <w:marTop w:val="0"/>
      <w:marBottom w:val="0"/>
      <w:divBdr>
        <w:top w:val="none" w:sz="0" w:space="0" w:color="auto"/>
        <w:left w:val="none" w:sz="0" w:space="0" w:color="auto"/>
        <w:bottom w:val="none" w:sz="0" w:space="0" w:color="auto"/>
        <w:right w:val="none" w:sz="0" w:space="0" w:color="auto"/>
      </w:divBdr>
      <w:divsChild>
        <w:div w:id="184982841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rittoimmigrazionecittadinanza.it/archivio-saggi-commenti/saggi/fascicolo-n-1-2019-1/345-il-dito-e-la-luna-la-protezione-delle-esigenze-di-carattere-umanitario-degli-stranieri-prima-e-dopo-il-decreto-salvini"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it/libia-amnesty-international-alle-parti-in-conflitto-proteggete-la-vita-dei-civil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rw.org/world-report/201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unhcr.it/wp-content/uploads/2019/03/UNHCR-Posizione-Libia-aggiornamenti-II-clean.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hchr.org/Documents/Countries/LY/UNSMIL_OHCHRJointly_report_Libya_16.11.15.pdf" TargetMode="Externa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35911-B0C5-4751-A136-DF3385A42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1079</Words>
  <Characters>6155</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Favilli</dc:creator>
  <cp:keywords/>
  <dc:description/>
  <cp:lastModifiedBy>Chiara Favilli</cp:lastModifiedBy>
  <cp:revision>9</cp:revision>
  <dcterms:created xsi:type="dcterms:W3CDTF">2019-06-05T06:01:00Z</dcterms:created>
  <dcterms:modified xsi:type="dcterms:W3CDTF">2019-06-05T06:07:00Z</dcterms:modified>
</cp:coreProperties>
</file>