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6AB3F" w14:textId="3E4BDD91" w:rsidR="00EB0E9C" w:rsidRDefault="00EB0E9C" w:rsidP="00CA461B">
      <w:pPr>
        <w:spacing w:before="100" w:beforeAutospacing="1" w:after="0" w:line="240" w:lineRule="auto"/>
        <w:jc w:val="center"/>
        <w:rPr>
          <w:rFonts w:ascii="Times New Roman" w:hAnsi="Times New Roman" w:cs="Times New Roman"/>
          <w:b/>
          <w:sz w:val="32"/>
          <w:szCs w:val="32"/>
          <w:u w:val="single"/>
        </w:rPr>
      </w:pPr>
      <w:bookmarkStart w:id="0" w:name="_GoBack"/>
      <w:bookmarkEnd w:id="0"/>
      <w:r>
        <w:rPr>
          <w:rFonts w:ascii="Oswald" w:hAnsi="Oswald" w:cs="Arial"/>
          <w:noProof/>
          <w:color w:val="9B1D20"/>
          <w:sz w:val="21"/>
          <w:szCs w:val="21"/>
          <w:lang w:eastAsia="it-IT"/>
        </w:rPr>
        <w:drawing>
          <wp:inline distT="0" distB="0" distL="0" distR="0" wp14:anchorId="7F7FC65C" wp14:editId="63E9AA96">
            <wp:extent cx="3322101" cy="748790"/>
            <wp:effectExtent l="0" t="0" r="0" b="0"/>
            <wp:docPr id="3" name="Immagine 3" descr="ROMAOSSERVATORI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MAOSSERVATORI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4875" cy="749415"/>
                    </a:xfrm>
                    <a:prstGeom prst="rect">
                      <a:avLst/>
                    </a:prstGeom>
                    <a:noFill/>
                    <a:ln>
                      <a:noFill/>
                    </a:ln>
                  </pic:spPr>
                </pic:pic>
              </a:graphicData>
            </a:graphic>
          </wp:inline>
        </w:drawing>
      </w:r>
    </w:p>
    <w:p w14:paraId="6A7AB855" w14:textId="77777777" w:rsidR="00EB0E9C" w:rsidRDefault="00EB0E9C" w:rsidP="00CA461B">
      <w:pPr>
        <w:spacing w:before="100" w:beforeAutospacing="1" w:after="0" w:line="240" w:lineRule="auto"/>
        <w:jc w:val="center"/>
        <w:rPr>
          <w:rFonts w:ascii="Times New Roman" w:hAnsi="Times New Roman" w:cs="Times New Roman"/>
          <w:b/>
          <w:sz w:val="32"/>
          <w:szCs w:val="32"/>
          <w:u w:val="single"/>
        </w:rPr>
      </w:pPr>
    </w:p>
    <w:p w14:paraId="00D72424" w14:textId="63A661A7" w:rsidR="00864624" w:rsidRPr="00F54504" w:rsidRDefault="00BD01FE" w:rsidP="00F54504">
      <w:pPr>
        <w:spacing w:before="100" w:beforeAutospacing="1" w:after="0" w:line="240" w:lineRule="auto"/>
        <w:jc w:val="center"/>
        <w:rPr>
          <w:rFonts w:ascii="Times New Roman" w:hAnsi="Times New Roman" w:cs="Times New Roman"/>
          <w:b/>
          <w:sz w:val="32"/>
          <w:szCs w:val="32"/>
          <w:u w:val="single"/>
        </w:rPr>
      </w:pPr>
      <w:r w:rsidRPr="00F54504">
        <w:rPr>
          <w:rFonts w:ascii="Times New Roman" w:hAnsi="Times New Roman" w:cs="Times New Roman"/>
          <w:b/>
          <w:sz w:val="32"/>
          <w:szCs w:val="32"/>
          <w:u w:val="single"/>
        </w:rPr>
        <w:t>GRUPPO FAMIGLIA E ADR</w:t>
      </w:r>
    </w:p>
    <w:p w14:paraId="2F8B0332" w14:textId="77777777" w:rsidR="006F27CE" w:rsidRPr="0049712D" w:rsidRDefault="00AD745D" w:rsidP="00CA461B">
      <w:pPr>
        <w:spacing w:before="100" w:beforeAutospacing="1" w:after="0" w:line="240" w:lineRule="auto"/>
        <w:ind w:firstLine="357"/>
        <w:jc w:val="both"/>
        <w:rPr>
          <w:rFonts w:ascii="Times New Roman" w:hAnsi="Times New Roman" w:cs="Times New Roman"/>
          <w:sz w:val="24"/>
          <w:szCs w:val="24"/>
        </w:rPr>
      </w:pPr>
      <w:r w:rsidRPr="0049712D">
        <w:rPr>
          <w:rFonts w:ascii="Times New Roman" w:hAnsi="Times New Roman" w:cs="Times New Roman"/>
          <w:sz w:val="24"/>
          <w:szCs w:val="24"/>
        </w:rPr>
        <w:t>Il tema dei</w:t>
      </w:r>
      <w:r w:rsidR="00025FE3" w:rsidRPr="0049712D">
        <w:rPr>
          <w:rFonts w:ascii="Times New Roman" w:hAnsi="Times New Roman" w:cs="Times New Roman"/>
          <w:sz w:val="24"/>
          <w:szCs w:val="24"/>
        </w:rPr>
        <w:t xml:space="preserve"> diritti della persona nella famiglia e nelle relazioni quest’anno viene trattato insieme al tema delle ADR. Si tratta di una scelta, quella di collegare famiglia e ADR, coerente con l’evoluzione degli Osservatori che hanno iniziato a coltivare l’attenzione agli strumenti di soluzione dei conflitti diversi dal ricorso al giudice quando ancora </w:t>
      </w:r>
      <w:r w:rsidR="00BA7ECB" w:rsidRPr="0049712D">
        <w:rPr>
          <w:rFonts w:ascii="Times New Roman" w:hAnsi="Times New Roman" w:cs="Times New Roman"/>
          <w:sz w:val="24"/>
          <w:szCs w:val="24"/>
        </w:rPr>
        <w:t xml:space="preserve">la questione </w:t>
      </w:r>
      <w:r w:rsidR="00025FE3" w:rsidRPr="0049712D">
        <w:rPr>
          <w:rFonts w:ascii="Times New Roman" w:hAnsi="Times New Roman" w:cs="Times New Roman"/>
          <w:sz w:val="24"/>
          <w:szCs w:val="24"/>
        </w:rPr>
        <w:t xml:space="preserve">era assente nel dibattito, sostenendo che vi fossero spazi alternativi in cui portare il conflitto per poterlo guardare sotto tutti i suoi aspetti in maniera globale. </w:t>
      </w:r>
    </w:p>
    <w:p w14:paraId="678E9E22" w14:textId="721C4594" w:rsidR="006F27CE" w:rsidRPr="0049712D" w:rsidRDefault="00025FE3" w:rsidP="00CA461B">
      <w:pPr>
        <w:spacing w:before="100" w:beforeAutospacing="1" w:after="0" w:line="240" w:lineRule="auto"/>
        <w:ind w:firstLine="357"/>
        <w:jc w:val="both"/>
        <w:rPr>
          <w:rFonts w:ascii="Times New Roman" w:hAnsi="Times New Roman" w:cs="Times New Roman"/>
          <w:sz w:val="24"/>
          <w:szCs w:val="24"/>
        </w:rPr>
      </w:pPr>
      <w:r w:rsidRPr="0049712D">
        <w:rPr>
          <w:rFonts w:ascii="Times New Roman" w:hAnsi="Times New Roman" w:cs="Times New Roman"/>
          <w:sz w:val="24"/>
          <w:szCs w:val="24"/>
        </w:rPr>
        <w:t xml:space="preserve">Nelle ultime assemblee si è parlato di giustizia plurale, intendendo che </w:t>
      </w:r>
      <w:r w:rsidR="00217F17" w:rsidRPr="0049712D">
        <w:rPr>
          <w:rFonts w:ascii="Times New Roman" w:hAnsi="Times New Roman" w:cs="Times New Roman"/>
          <w:sz w:val="24"/>
          <w:szCs w:val="24"/>
        </w:rPr>
        <w:t xml:space="preserve">c’è complementarietà tra </w:t>
      </w:r>
      <w:r w:rsidRPr="0049712D">
        <w:rPr>
          <w:rFonts w:ascii="Times New Roman" w:hAnsi="Times New Roman" w:cs="Times New Roman"/>
          <w:sz w:val="24"/>
          <w:szCs w:val="24"/>
        </w:rPr>
        <w:t xml:space="preserve">la giurisdizione </w:t>
      </w:r>
      <w:r w:rsidR="00217F17" w:rsidRPr="0049712D">
        <w:rPr>
          <w:rFonts w:ascii="Times New Roman" w:hAnsi="Times New Roman" w:cs="Times New Roman"/>
          <w:sz w:val="24"/>
          <w:szCs w:val="24"/>
        </w:rPr>
        <w:t>e le ADR,</w:t>
      </w:r>
      <w:r w:rsidR="00FD6F06" w:rsidRPr="0049712D">
        <w:rPr>
          <w:rFonts w:ascii="Times New Roman" w:hAnsi="Times New Roman" w:cs="Times New Roman"/>
          <w:sz w:val="24"/>
          <w:szCs w:val="24"/>
        </w:rPr>
        <w:t xml:space="preserve"> </w:t>
      </w:r>
      <w:r w:rsidR="00EF5AF7" w:rsidRPr="0049712D">
        <w:rPr>
          <w:rFonts w:ascii="Times New Roman" w:hAnsi="Times New Roman" w:cs="Times New Roman"/>
          <w:sz w:val="24"/>
          <w:szCs w:val="24"/>
        </w:rPr>
        <w:t>senza mai fermarsi</w:t>
      </w:r>
      <w:r w:rsidR="00BA7ECB" w:rsidRPr="0049712D">
        <w:rPr>
          <w:rFonts w:ascii="Times New Roman" w:hAnsi="Times New Roman" w:cs="Times New Roman"/>
          <w:sz w:val="24"/>
          <w:szCs w:val="24"/>
        </w:rPr>
        <w:t xml:space="preserve"> </w:t>
      </w:r>
      <w:r w:rsidR="00757D16" w:rsidRPr="0049712D">
        <w:rPr>
          <w:rFonts w:ascii="Times New Roman" w:hAnsi="Times New Roman" w:cs="Times New Roman"/>
          <w:sz w:val="24"/>
          <w:szCs w:val="24"/>
        </w:rPr>
        <w:t>unicamente alle</w:t>
      </w:r>
      <w:r w:rsidR="00066A29" w:rsidRPr="0049712D">
        <w:rPr>
          <w:rFonts w:ascii="Times New Roman" w:hAnsi="Times New Roman" w:cs="Times New Roman"/>
          <w:sz w:val="24"/>
          <w:szCs w:val="24"/>
        </w:rPr>
        <w:t xml:space="preserve"> </w:t>
      </w:r>
      <w:r w:rsidRPr="0049712D">
        <w:rPr>
          <w:rFonts w:ascii="Times New Roman" w:hAnsi="Times New Roman" w:cs="Times New Roman"/>
          <w:sz w:val="24"/>
          <w:szCs w:val="24"/>
        </w:rPr>
        <w:t xml:space="preserve">questioni </w:t>
      </w:r>
      <w:r w:rsidR="00757D16" w:rsidRPr="0049712D">
        <w:rPr>
          <w:rFonts w:ascii="Times New Roman" w:hAnsi="Times New Roman" w:cs="Times New Roman"/>
          <w:sz w:val="24"/>
          <w:szCs w:val="24"/>
        </w:rPr>
        <w:t>di carattere processuale</w:t>
      </w:r>
      <w:r w:rsidRPr="0049712D">
        <w:rPr>
          <w:rFonts w:ascii="Times New Roman" w:hAnsi="Times New Roman" w:cs="Times New Roman"/>
          <w:sz w:val="24"/>
          <w:szCs w:val="24"/>
        </w:rPr>
        <w:t xml:space="preserve"> </w:t>
      </w:r>
      <w:r w:rsidR="00217F17" w:rsidRPr="0049712D">
        <w:rPr>
          <w:rFonts w:ascii="Times New Roman" w:hAnsi="Times New Roman" w:cs="Times New Roman"/>
          <w:sz w:val="24"/>
          <w:szCs w:val="24"/>
        </w:rPr>
        <w:t xml:space="preserve">ma ponendo grande attenzione </w:t>
      </w:r>
      <w:r w:rsidR="000C7A8C">
        <w:rPr>
          <w:rFonts w:ascii="Times New Roman" w:hAnsi="Times New Roman" w:cs="Times New Roman"/>
          <w:sz w:val="24"/>
          <w:szCs w:val="24"/>
        </w:rPr>
        <w:t>al tema de</w:t>
      </w:r>
      <w:r w:rsidR="00217F17" w:rsidRPr="0049712D">
        <w:rPr>
          <w:rFonts w:ascii="Times New Roman" w:hAnsi="Times New Roman" w:cs="Times New Roman"/>
          <w:sz w:val="24"/>
          <w:szCs w:val="24"/>
        </w:rPr>
        <w:t>ll’</w:t>
      </w:r>
      <w:r w:rsidRPr="0049712D">
        <w:rPr>
          <w:rFonts w:ascii="Times New Roman" w:hAnsi="Times New Roman" w:cs="Times New Roman"/>
          <w:sz w:val="24"/>
          <w:szCs w:val="24"/>
        </w:rPr>
        <w:t>educazione delle p</w:t>
      </w:r>
      <w:r w:rsidR="00C365A2" w:rsidRPr="0049712D">
        <w:rPr>
          <w:rFonts w:ascii="Times New Roman" w:hAnsi="Times New Roman" w:cs="Times New Roman"/>
          <w:sz w:val="24"/>
          <w:szCs w:val="24"/>
        </w:rPr>
        <w:t>e</w:t>
      </w:r>
      <w:r w:rsidRPr="0049712D">
        <w:rPr>
          <w:rFonts w:ascii="Times New Roman" w:hAnsi="Times New Roman" w:cs="Times New Roman"/>
          <w:sz w:val="24"/>
          <w:szCs w:val="24"/>
        </w:rPr>
        <w:t xml:space="preserve">rsone alla gestione dei conflitti, </w:t>
      </w:r>
      <w:r w:rsidR="00C365A2" w:rsidRPr="0049712D">
        <w:rPr>
          <w:rFonts w:ascii="Times New Roman" w:hAnsi="Times New Roman" w:cs="Times New Roman"/>
          <w:sz w:val="24"/>
          <w:szCs w:val="24"/>
        </w:rPr>
        <w:t>per cercare di spostare</w:t>
      </w:r>
      <w:r w:rsidR="00217F17" w:rsidRPr="0049712D">
        <w:rPr>
          <w:rFonts w:ascii="Times New Roman" w:hAnsi="Times New Roman" w:cs="Times New Roman"/>
          <w:sz w:val="24"/>
          <w:szCs w:val="24"/>
        </w:rPr>
        <w:t xml:space="preserve"> l’attenzi</w:t>
      </w:r>
      <w:r w:rsidR="007E0BE6" w:rsidRPr="0049712D">
        <w:rPr>
          <w:rFonts w:ascii="Times New Roman" w:hAnsi="Times New Roman" w:cs="Times New Roman"/>
          <w:sz w:val="24"/>
          <w:szCs w:val="24"/>
        </w:rPr>
        <w:t xml:space="preserve">one dalla centralità dei rimedi alla </w:t>
      </w:r>
      <w:r w:rsidRPr="0049712D">
        <w:rPr>
          <w:rFonts w:ascii="Times New Roman" w:hAnsi="Times New Roman" w:cs="Times New Roman"/>
          <w:sz w:val="24"/>
          <w:szCs w:val="24"/>
        </w:rPr>
        <w:t xml:space="preserve">centralità della persona. </w:t>
      </w:r>
    </w:p>
    <w:p w14:paraId="495DC159" w14:textId="08731352" w:rsidR="00025FE3" w:rsidRPr="0049712D" w:rsidRDefault="00025FE3" w:rsidP="00CA461B">
      <w:pPr>
        <w:spacing w:before="100" w:beforeAutospacing="1" w:after="0" w:line="240" w:lineRule="auto"/>
        <w:ind w:firstLine="357"/>
        <w:jc w:val="both"/>
        <w:rPr>
          <w:rFonts w:ascii="Times New Roman" w:hAnsi="Times New Roman" w:cs="Times New Roman"/>
          <w:sz w:val="24"/>
          <w:szCs w:val="24"/>
        </w:rPr>
      </w:pPr>
      <w:r w:rsidRPr="0049712D">
        <w:rPr>
          <w:rFonts w:ascii="Times New Roman" w:hAnsi="Times New Roman" w:cs="Times New Roman"/>
          <w:sz w:val="24"/>
          <w:szCs w:val="24"/>
        </w:rPr>
        <w:t>Proprio perché il tema delle ADR deve coniugarsi con i vari tipi di conflitto</w:t>
      </w:r>
      <w:r w:rsidR="005D3406" w:rsidRPr="0049712D">
        <w:rPr>
          <w:rFonts w:ascii="Times New Roman" w:hAnsi="Times New Roman" w:cs="Times New Roman"/>
          <w:sz w:val="24"/>
          <w:szCs w:val="24"/>
        </w:rPr>
        <w:t xml:space="preserve"> si è deciso di partire dai conflitti che coinvolgono direttamente le persone e le relazioni</w:t>
      </w:r>
      <w:r w:rsidR="000C7A8C">
        <w:rPr>
          <w:rFonts w:ascii="Times New Roman" w:hAnsi="Times New Roman" w:cs="Times New Roman"/>
          <w:sz w:val="24"/>
          <w:szCs w:val="24"/>
        </w:rPr>
        <w:t xml:space="preserve">, senza </w:t>
      </w:r>
      <w:r w:rsidR="005B64B4">
        <w:rPr>
          <w:rFonts w:ascii="Times New Roman" w:hAnsi="Times New Roman" w:cs="Times New Roman"/>
          <w:sz w:val="24"/>
          <w:szCs w:val="24"/>
        </w:rPr>
        <w:t>trascurare altre tipologie di conflitti.</w:t>
      </w:r>
    </w:p>
    <w:p w14:paraId="7C7A681E" w14:textId="092C21FD" w:rsidR="009051D8" w:rsidRDefault="005B64B4" w:rsidP="00CA461B">
      <w:pPr>
        <w:pStyle w:val="Paragrafoelenco"/>
        <w:numPr>
          <w:ilvl w:val="0"/>
          <w:numId w:val="11"/>
        </w:numPr>
        <w:spacing w:before="100" w:beforeAutospacing="1"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INIZIATIVE DELL’</w:t>
      </w:r>
      <w:r w:rsidR="002032B6">
        <w:rPr>
          <w:rFonts w:ascii="Times New Roman" w:hAnsi="Times New Roman" w:cs="Times New Roman"/>
          <w:b/>
          <w:sz w:val="24"/>
          <w:szCs w:val="24"/>
          <w:u w:val="single"/>
        </w:rPr>
        <w:t>OSSERVATORIO DI ROMA</w:t>
      </w:r>
    </w:p>
    <w:p w14:paraId="24E36B35" w14:textId="77777777" w:rsidR="003F3C49" w:rsidRPr="0049712D" w:rsidRDefault="003F3C49" w:rsidP="003F3C49">
      <w:pPr>
        <w:pStyle w:val="Paragrafoelenco"/>
        <w:spacing w:before="100" w:beforeAutospacing="1" w:after="0" w:line="240" w:lineRule="auto"/>
        <w:rPr>
          <w:rFonts w:ascii="Times New Roman" w:hAnsi="Times New Roman" w:cs="Times New Roman"/>
          <w:b/>
          <w:sz w:val="24"/>
          <w:szCs w:val="24"/>
          <w:u w:val="single"/>
        </w:rPr>
      </w:pPr>
    </w:p>
    <w:p w14:paraId="79D3AEC4" w14:textId="26F1D9AB" w:rsidR="00864624" w:rsidRDefault="00864624" w:rsidP="00CA461B">
      <w:pPr>
        <w:pStyle w:val="Paragrafoelenco"/>
        <w:numPr>
          <w:ilvl w:val="1"/>
          <w:numId w:val="11"/>
        </w:numPr>
        <w:spacing w:before="100" w:beforeAutospacing="1"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Tavolo interistituzionale in Corte d’Appello</w:t>
      </w:r>
    </w:p>
    <w:p w14:paraId="27383363" w14:textId="77777777" w:rsidR="00864624" w:rsidRDefault="00864624" w:rsidP="00864624">
      <w:pPr>
        <w:pStyle w:val="Paragrafoelenco"/>
        <w:spacing w:before="100" w:beforeAutospacing="1" w:after="0" w:line="240" w:lineRule="auto"/>
        <w:ind w:left="1440"/>
        <w:rPr>
          <w:rFonts w:ascii="Times New Roman" w:hAnsi="Times New Roman" w:cs="Times New Roman"/>
          <w:b/>
          <w:sz w:val="24"/>
          <w:szCs w:val="24"/>
          <w:u w:val="single"/>
        </w:rPr>
      </w:pPr>
    </w:p>
    <w:p w14:paraId="5D108B8D" w14:textId="1320B592" w:rsidR="00864624" w:rsidRPr="00864624" w:rsidRDefault="00864624" w:rsidP="00864624">
      <w:pPr>
        <w:spacing w:line="240" w:lineRule="auto"/>
        <w:ind w:right="-1" w:firstLine="708"/>
        <w:jc w:val="both"/>
        <w:rPr>
          <w:rFonts w:ascii="Times New Roman" w:hAnsi="Times New Roman" w:cs="Times New Roman"/>
          <w:bCs/>
          <w:sz w:val="24"/>
          <w:szCs w:val="24"/>
        </w:rPr>
      </w:pPr>
      <w:r w:rsidRPr="00864624">
        <w:rPr>
          <w:rFonts w:ascii="Times New Roman" w:hAnsi="Times New Roman" w:cs="Times New Roman"/>
          <w:bCs/>
          <w:sz w:val="24"/>
          <w:szCs w:val="24"/>
        </w:rPr>
        <w:t>La Corte di Appello di Roma ha dato avvio alla seconda edizione del Tavolo interistituzionale per i rapporti tra Uffici giudiziari e servizi sociali. L’esperienza passata ha prodotto frutti significativi nel potenziamento della integrazione dei servizi sociali , tra cui l’approvazione del piano regionale per i servizi sociali</w:t>
      </w:r>
      <w:r>
        <w:rPr>
          <w:rFonts w:ascii="Times New Roman" w:hAnsi="Times New Roman" w:cs="Times New Roman"/>
          <w:bCs/>
          <w:sz w:val="24"/>
          <w:szCs w:val="24"/>
        </w:rPr>
        <w:t>.</w:t>
      </w:r>
    </w:p>
    <w:p w14:paraId="40B7C40C" w14:textId="77777777" w:rsidR="00864624" w:rsidRDefault="00864624" w:rsidP="00864624">
      <w:pPr>
        <w:spacing w:line="240" w:lineRule="auto"/>
        <w:ind w:right="-1" w:firstLine="708"/>
        <w:jc w:val="both"/>
        <w:rPr>
          <w:rFonts w:ascii="Times New Roman" w:hAnsi="Times New Roman" w:cs="Times New Roman"/>
          <w:bCs/>
          <w:sz w:val="24"/>
          <w:szCs w:val="24"/>
        </w:rPr>
      </w:pPr>
      <w:r w:rsidRPr="00864624">
        <w:rPr>
          <w:rFonts w:ascii="Times New Roman" w:hAnsi="Times New Roman" w:cs="Times New Roman"/>
          <w:bCs/>
          <w:sz w:val="24"/>
          <w:szCs w:val="24"/>
        </w:rPr>
        <w:t>Gli obiettivi che la riedizione del tavolo si propone  sono ambiziosi:</w:t>
      </w:r>
    </w:p>
    <w:p w14:paraId="512F2245" w14:textId="77777777" w:rsidR="00841D3D" w:rsidRDefault="00864624" w:rsidP="00864624">
      <w:pPr>
        <w:pStyle w:val="Paragrafoelenco"/>
        <w:numPr>
          <w:ilvl w:val="0"/>
          <w:numId w:val="20"/>
        </w:numPr>
        <w:spacing w:line="240" w:lineRule="auto"/>
        <w:ind w:right="-1"/>
        <w:jc w:val="both"/>
        <w:rPr>
          <w:rFonts w:ascii="Times New Roman" w:hAnsi="Times New Roman" w:cs="Times New Roman"/>
          <w:bCs/>
          <w:sz w:val="24"/>
          <w:szCs w:val="24"/>
        </w:rPr>
      </w:pPr>
      <w:r w:rsidRPr="00864624">
        <w:rPr>
          <w:rFonts w:ascii="Times New Roman" w:hAnsi="Times New Roman" w:cs="Times New Roman"/>
          <w:bCs/>
          <w:sz w:val="24"/>
          <w:szCs w:val="24"/>
        </w:rPr>
        <w:t>La realizzazione di un sistema omogeneo dei rapporti tra la magistratura e i servizi sociali e sanitari portando a compimento le premesse e le indicazioni insite nel Piano sociale regionale</w:t>
      </w:r>
    </w:p>
    <w:p w14:paraId="206C5D70" w14:textId="77777777" w:rsidR="00841D3D" w:rsidRDefault="00864624" w:rsidP="00841D3D">
      <w:pPr>
        <w:pStyle w:val="Paragrafoelenco"/>
        <w:numPr>
          <w:ilvl w:val="0"/>
          <w:numId w:val="20"/>
        </w:numPr>
        <w:spacing w:line="240" w:lineRule="auto"/>
        <w:ind w:right="-1"/>
        <w:jc w:val="both"/>
        <w:rPr>
          <w:rFonts w:ascii="Times New Roman" w:hAnsi="Times New Roman" w:cs="Times New Roman"/>
          <w:bCs/>
          <w:sz w:val="24"/>
          <w:szCs w:val="24"/>
        </w:rPr>
      </w:pPr>
      <w:r w:rsidRPr="00864624">
        <w:rPr>
          <w:rFonts w:ascii="Times New Roman" w:hAnsi="Times New Roman" w:cs="Times New Roman"/>
          <w:bCs/>
          <w:sz w:val="24"/>
          <w:szCs w:val="24"/>
        </w:rPr>
        <w:t>L’elaborazione di un provvedimento regionale sull’integrazione sociale e sanitaria nell’ambito dei rapporti tra magistratura e serviz</w:t>
      </w:r>
      <w:r w:rsidR="00841D3D">
        <w:rPr>
          <w:rFonts w:ascii="Times New Roman" w:hAnsi="Times New Roman" w:cs="Times New Roman"/>
          <w:bCs/>
          <w:sz w:val="24"/>
          <w:szCs w:val="24"/>
        </w:rPr>
        <w:t>i</w:t>
      </w:r>
    </w:p>
    <w:p w14:paraId="1DFDF207" w14:textId="42B93AF0" w:rsidR="00864624" w:rsidRPr="00841D3D" w:rsidRDefault="00864624" w:rsidP="00841D3D">
      <w:pPr>
        <w:pStyle w:val="Paragrafoelenco"/>
        <w:numPr>
          <w:ilvl w:val="0"/>
          <w:numId w:val="20"/>
        </w:numPr>
        <w:spacing w:line="240" w:lineRule="auto"/>
        <w:ind w:right="-1"/>
        <w:jc w:val="both"/>
        <w:rPr>
          <w:rFonts w:ascii="Times New Roman" w:hAnsi="Times New Roman" w:cs="Times New Roman"/>
          <w:bCs/>
          <w:sz w:val="24"/>
          <w:szCs w:val="24"/>
        </w:rPr>
      </w:pPr>
      <w:r w:rsidRPr="00841D3D">
        <w:rPr>
          <w:rFonts w:ascii="Times New Roman" w:hAnsi="Times New Roman" w:cs="Times New Roman"/>
          <w:bCs/>
          <w:sz w:val="24"/>
          <w:szCs w:val="24"/>
        </w:rPr>
        <w:t>La costituzione di un coordinamento tra i servizi.</w:t>
      </w:r>
    </w:p>
    <w:p w14:paraId="352D1EB1" w14:textId="71CF7EB6" w:rsidR="00864624" w:rsidRPr="00864624" w:rsidRDefault="00864624" w:rsidP="00841D3D">
      <w:pPr>
        <w:spacing w:line="240" w:lineRule="auto"/>
        <w:ind w:right="-1" w:firstLine="340"/>
        <w:jc w:val="both"/>
        <w:rPr>
          <w:rFonts w:ascii="Times New Roman" w:hAnsi="Times New Roman" w:cs="Times New Roman"/>
          <w:bCs/>
          <w:sz w:val="24"/>
          <w:szCs w:val="24"/>
        </w:rPr>
      </w:pPr>
      <w:r w:rsidRPr="00864624">
        <w:rPr>
          <w:rFonts w:ascii="Times New Roman" w:hAnsi="Times New Roman" w:cs="Times New Roman"/>
          <w:bCs/>
          <w:sz w:val="24"/>
          <w:szCs w:val="24"/>
        </w:rPr>
        <w:t xml:space="preserve">La novità significativa è che al tavolo, al quale partecipano la Corte di appello, il Tribunale per i Minorenni, </w:t>
      </w:r>
      <w:r w:rsidR="002421EC">
        <w:rPr>
          <w:rFonts w:ascii="Times New Roman" w:hAnsi="Times New Roman" w:cs="Times New Roman"/>
          <w:bCs/>
          <w:sz w:val="24"/>
          <w:szCs w:val="24"/>
        </w:rPr>
        <w:t>la</w:t>
      </w:r>
      <w:r w:rsidRPr="00864624">
        <w:rPr>
          <w:rFonts w:ascii="Times New Roman" w:hAnsi="Times New Roman" w:cs="Times New Roman"/>
          <w:bCs/>
          <w:sz w:val="24"/>
          <w:szCs w:val="24"/>
        </w:rPr>
        <w:t xml:space="preserve"> Regione, </w:t>
      </w:r>
      <w:r w:rsidR="002421EC">
        <w:rPr>
          <w:rFonts w:ascii="Times New Roman" w:hAnsi="Times New Roman" w:cs="Times New Roman"/>
          <w:bCs/>
          <w:sz w:val="24"/>
          <w:szCs w:val="24"/>
        </w:rPr>
        <w:t xml:space="preserve">il </w:t>
      </w:r>
      <w:r w:rsidRPr="00864624">
        <w:rPr>
          <w:rFonts w:ascii="Times New Roman" w:hAnsi="Times New Roman" w:cs="Times New Roman"/>
          <w:bCs/>
          <w:sz w:val="24"/>
          <w:szCs w:val="24"/>
        </w:rPr>
        <w:t>Comune</w:t>
      </w:r>
      <w:r w:rsidR="002421EC">
        <w:rPr>
          <w:rFonts w:ascii="Times New Roman" w:hAnsi="Times New Roman" w:cs="Times New Roman"/>
          <w:bCs/>
          <w:sz w:val="24"/>
          <w:szCs w:val="24"/>
        </w:rPr>
        <w:t>, gli O</w:t>
      </w:r>
      <w:r w:rsidRPr="00864624">
        <w:rPr>
          <w:rFonts w:ascii="Times New Roman" w:hAnsi="Times New Roman" w:cs="Times New Roman"/>
          <w:bCs/>
          <w:sz w:val="24"/>
          <w:szCs w:val="24"/>
        </w:rPr>
        <w:t xml:space="preserve">rdini professionali (avvocati, assistenti sociali, psicologi), </w:t>
      </w:r>
      <w:r w:rsidR="002421EC">
        <w:rPr>
          <w:rFonts w:ascii="Times New Roman" w:hAnsi="Times New Roman" w:cs="Times New Roman"/>
          <w:bCs/>
          <w:sz w:val="24"/>
          <w:szCs w:val="24"/>
        </w:rPr>
        <w:t xml:space="preserve">il </w:t>
      </w:r>
      <w:r w:rsidRPr="00864624">
        <w:rPr>
          <w:rFonts w:ascii="Times New Roman" w:hAnsi="Times New Roman" w:cs="Times New Roman"/>
          <w:bCs/>
          <w:sz w:val="24"/>
          <w:szCs w:val="24"/>
        </w:rPr>
        <w:t>Garante regionale per l’Infanzia,  sarà invitato a partecipare anche l’</w:t>
      </w:r>
      <w:r w:rsidR="002421EC">
        <w:rPr>
          <w:rFonts w:ascii="Times New Roman" w:hAnsi="Times New Roman" w:cs="Times New Roman"/>
          <w:bCs/>
          <w:sz w:val="24"/>
          <w:szCs w:val="24"/>
        </w:rPr>
        <w:t>O</w:t>
      </w:r>
      <w:r w:rsidRPr="00864624">
        <w:rPr>
          <w:rFonts w:ascii="Times New Roman" w:hAnsi="Times New Roman" w:cs="Times New Roman"/>
          <w:bCs/>
          <w:sz w:val="24"/>
          <w:szCs w:val="24"/>
        </w:rPr>
        <w:t>sservatorio sulla giustizia civile di Roma.</w:t>
      </w:r>
    </w:p>
    <w:p w14:paraId="1EFF2ED7" w14:textId="6136C323" w:rsidR="00864624" w:rsidRPr="00864624" w:rsidRDefault="00864624" w:rsidP="00841D3D">
      <w:pPr>
        <w:spacing w:line="240" w:lineRule="auto"/>
        <w:ind w:right="-1" w:firstLine="340"/>
        <w:jc w:val="both"/>
        <w:rPr>
          <w:rFonts w:ascii="Times New Roman" w:hAnsi="Times New Roman" w:cs="Times New Roman"/>
          <w:bCs/>
          <w:sz w:val="24"/>
          <w:szCs w:val="24"/>
        </w:rPr>
      </w:pPr>
      <w:r w:rsidRPr="00864624">
        <w:rPr>
          <w:rFonts w:ascii="Times New Roman" w:hAnsi="Times New Roman" w:cs="Times New Roman"/>
          <w:bCs/>
          <w:sz w:val="24"/>
          <w:szCs w:val="24"/>
        </w:rPr>
        <w:t xml:space="preserve">Ciò per due ordini di ragioni. La prima, di respiro più generale, per l’affinità degli obiettivi perseguiti dal tavolo con la cultura degli </w:t>
      </w:r>
      <w:r w:rsidR="005D1781">
        <w:rPr>
          <w:rFonts w:ascii="Times New Roman" w:hAnsi="Times New Roman" w:cs="Times New Roman"/>
          <w:bCs/>
          <w:sz w:val="24"/>
          <w:szCs w:val="24"/>
        </w:rPr>
        <w:t>O</w:t>
      </w:r>
      <w:r w:rsidRPr="00864624">
        <w:rPr>
          <w:rFonts w:ascii="Times New Roman" w:hAnsi="Times New Roman" w:cs="Times New Roman"/>
          <w:bCs/>
          <w:sz w:val="24"/>
          <w:szCs w:val="24"/>
        </w:rPr>
        <w:t xml:space="preserve">sservatori, la seconda più specifica , poiché uno dei prodotti della precedente esperienza del Tavolo è stata la creazione dello Spazio famiglia all’interno </w:t>
      </w:r>
      <w:r w:rsidRPr="00864624">
        <w:rPr>
          <w:rFonts w:ascii="Times New Roman" w:hAnsi="Times New Roman" w:cs="Times New Roman"/>
          <w:bCs/>
          <w:sz w:val="24"/>
          <w:szCs w:val="24"/>
        </w:rPr>
        <w:lastRenderedPageBreak/>
        <w:t>del Tribunale di Roma, esperienza che nella scorsa assemblea nazionale di Reggio Emilia,  il laboratorio famiglia ha proposto, all’interno del confronto sull’esperienza della coordinazione genitoriale, quale modello organizzativo pubblico contrapposto alla esclusiva privatizzazione della figura del coordinatore proposta dall’esperienza milanese.</w:t>
      </w:r>
    </w:p>
    <w:p w14:paraId="78E7030E" w14:textId="77777777" w:rsidR="00864624" w:rsidRDefault="00864624" w:rsidP="00864624">
      <w:pPr>
        <w:pStyle w:val="Paragrafoelenco"/>
        <w:spacing w:before="100" w:beforeAutospacing="1" w:after="0" w:line="240" w:lineRule="auto"/>
        <w:rPr>
          <w:rFonts w:ascii="Times New Roman" w:hAnsi="Times New Roman" w:cs="Times New Roman"/>
          <w:b/>
          <w:sz w:val="24"/>
          <w:szCs w:val="24"/>
          <w:u w:val="single"/>
        </w:rPr>
      </w:pPr>
    </w:p>
    <w:p w14:paraId="1FD4B4F6" w14:textId="6878B564" w:rsidR="001A0E50" w:rsidRPr="0049712D" w:rsidRDefault="001A0E50" w:rsidP="00CA461B">
      <w:pPr>
        <w:pStyle w:val="Paragrafoelenco"/>
        <w:numPr>
          <w:ilvl w:val="1"/>
          <w:numId w:val="11"/>
        </w:numPr>
        <w:spacing w:before="100" w:beforeAutospacing="1" w:after="0" w:line="240" w:lineRule="auto"/>
        <w:rPr>
          <w:rFonts w:ascii="Times New Roman" w:hAnsi="Times New Roman" w:cs="Times New Roman"/>
          <w:b/>
          <w:sz w:val="24"/>
          <w:szCs w:val="24"/>
          <w:u w:val="single"/>
        </w:rPr>
      </w:pPr>
      <w:r w:rsidRPr="0049712D">
        <w:rPr>
          <w:rFonts w:ascii="Times New Roman" w:hAnsi="Times New Roman" w:cs="Times New Roman"/>
          <w:b/>
          <w:sz w:val="24"/>
          <w:szCs w:val="24"/>
          <w:u w:val="single"/>
        </w:rPr>
        <w:t xml:space="preserve">Informazione sugli strumenti ADR </w:t>
      </w:r>
    </w:p>
    <w:p w14:paraId="1FF1B33F" w14:textId="089B7F1A" w:rsidR="004D72D5" w:rsidRPr="0049712D" w:rsidRDefault="007D4CC2" w:rsidP="00CA461B">
      <w:pPr>
        <w:spacing w:before="100" w:beforeAutospacing="1" w:after="0" w:line="240" w:lineRule="auto"/>
        <w:ind w:firstLine="360"/>
        <w:jc w:val="both"/>
        <w:rPr>
          <w:rFonts w:ascii="Times New Roman" w:hAnsi="Times New Roman" w:cs="Times New Roman"/>
          <w:sz w:val="24"/>
          <w:szCs w:val="24"/>
        </w:rPr>
      </w:pPr>
      <w:r w:rsidRPr="0049712D">
        <w:rPr>
          <w:rFonts w:ascii="Times New Roman" w:hAnsi="Times New Roman" w:cs="Times New Roman"/>
          <w:sz w:val="24"/>
          <w:szCs w:val="24"/>
        </w:rPr>
        <w:t xml:space="preserve">Accogliendo il suggerimento </w:t>
      </w:r>
      <w:r w:rsidR="001E7F0B" w:rsidRPr="0049712D">
        <w:rPr>
          <w:rFonts w:ascii="Times New Roman" w:hAnsi="Times New Roman" w:cs="Times New Roman"/>
          <w:sz w:val="24"/>
          <w:szCs w:val="24"/>
        </w:rPr>
        <w:t>formulato lo scorso anno dall’Osservatorio</w:t>
      </w:r>
      <w:r w:rsidR="004E0BA8" w:rsidRPr="0049712D">
        <w:rPr>
          <w:rFonts w:ascii="Times New Roman" w:hAnsi="Times New Roman" w:cs="Times New Roman"/>
          <w:sz w:val="24"/>
          <w:szCs w:val="24"/>
        </w:rPr>
        <w:t xml:space="preserve"> romano</w:t>
      </w:r>
      <w:r w:rsidR="0009604C" w:rsidRPr="0049712D">
        <w:rPr>
          <w:rFonts w:ascii="Times New Roman" w:hAnsi="Times New Roman" w:cs="Times New Roman"/>
          <w:sz w:val="24"/>
          <w:szCs w:val="24"/>
        </w:rPr>
        <w:t xml:space="preserve"> che chiedeva la creazione di centri di a</w:t>
      </w:r>
      <w:r w:rsidR="00014494" w:rsidRPr="0049712D">
        <w:rPr>
          <w:rFonts w:ascii="Times New Roman" w:hAnsi="Times New Roman" w:cs="Times New Roman"/>
          <w:sz w:val="24"/>
          <w:szCs w:val="24"/>
        </w:rPr>
        <w:t xml:space="preserve">scolto e </w:t>
      </w:r>
      <w:r w:rsidR="0009604C" w:rsidRPr="0049712D">
        <w:rPr>
          <w:rFonts w:ascii="Times New Roman" w:hAnsi="Times New Roman" w:cs="Times New Roman"/>
          <w:sz w:val="24"/>
          <w:szCs w:val="24"/>
        </w:rPr>
        <w:t xml:space="preserve">orientamento per </w:t>
      </w:r>
      <w:r w:rsidR="00F23775" w:rsidRPr="0049712D">
        <w:rPr>
          <w:rFonts w:ascii="Times New Roman" w:hAnsi="Times New Roman" w:cs="Times New Roman"/>
          <w:sz w:val="24"/>
          <w:szCs w:val="24"/>
        </w:rPr>
        <w:t>le persone</w:t>
      </w:r>
      <w:r w:rsidR="00014494" w:rsidRPr="0049712D">
        <w:rPr>
          <w:rFonts w:ascii="Times New Roman" w:hAnsi="Times New Roman" w:cs="Times New Roman"/>
          <w:sz w:val="24"/>
          <w:szCs w:val="24"/>
        </w:rPr>
        <w:t>, oltre che per</w:t>
      </w:r>
      <w:r w:rsidR="00F23775" w:rsidRPr="0049712D">
        <w:rPr>
          <w:rFonts w:ascii="Times New Roman" w:hAnsi="Times New Roman" w:cs="Times New Roman"/>
          <w:sz w:val="24"/>
          <w:szCs w:val="24"/>
        </w:rPr>
        <w:t xml:space="preserve"> i professionisti</w:t>
      </w:r>
      <w:r w:rsidR="00014494" w:rsidRPr="0049712D">
        <w:rPr>
          <w:rFonts w:ascii="Times New Roman" w:hAnsi="Times New Roman" w:cs="Times New Roman"/>
          <w:sz w:val="24"/>
          <w:szCs w:val="24"/>
        </w:rPr>
        <w:t>, per promuovere</w:t>
      </w:r>
      <w:r w:rsidR="00F23775" w:rsidRPr="0049712D">
        <w:rPr>
          <w:rFonts w:ascii="Times New Roman" w:hAnsi="Times New Roman" w:cs="Times New Roman"/>
          <w:sz w:val="24"/>
          <w:szCs w:val="24"/>
        </w:rPr>
        <w:t xml:space="preserve"> l’uso degli strumenti di soluzione negoziale dei conflitti</w:t>
      </w:r>
      <w:r w:rsidR="00435F2E" w:rsidRPr="0049712D">
        <w:rPr>
          <w:rFonts w:ascii="Times New Roman" w:hAnsi="Times New Roman" w:cs="Times New Roman"/>
          <w:sz w:val="24"/>
          <w:szCs w:val="24"/>
        </w:rPr>
        <w:t xml:space="preserve"> in materia di famiglia</w:t>
      </w:r>
      <w:r w:rsidRPr="0049712D">
        <w:rPr>
          <w:rFonts w:ascii="Times New Roman" w:hAnsi="Times New Roman" w:cs="Times New Roman"/>
          <w:sz w:val="24"/>
          <w:szCs w:val="24"/>
        </w:rPr>
        <w:t>,</w:t>
      </w:r>
      <w:r w:rsidR="00F23775" w:rsidRPr="0049712D">
        <w:rPr>
          <w:rFonts w:ascii="Times New Roman" w:hAnsi="Times New Roman" w:cs="Times New Roman"/>
          <w:sz w:val="24"/>
          <w:szCs w:val="24"/>
        </w:rPr>
        <w:t xml:space="preserve"> </w:t>
      </w:r>
      <w:r w:rsidRPr="0049712D">
        <w:rPr>
          <w:rFonts w:ascii="Times New Roman" w:hAnsi="Times New Roman" w:cs="Times New Roman"/>
          <w:sz w:val="24"/>
          <w:szCs w:val="24"/>
        </w:rPr>
        <w:t>la</w:t>
      </w:r>
      <w:r w:rsidR="00E12A90" w:rsidRPr="0049712D">
        <w:rPr>
          <w:rFonts w:ascii="Times New Roman" w:hAnsi="Times New Roman" w:cs="Times New Roman"/>
          <w:sz w:val="24"/>
          <w:szCs w:val="24"/>
        </w:rPr>
        <w:t xml:space="preserve"> </w:t>
      </w:r>
      <w:r w:rsidR="000E106F" w:rsidRPr="0049712D">
        <w:rPr>
          <w:rFonts w:ascii="Times New Roman" w:hAnsi="Times New Roman" w:cs="Times New Roman"/>
          <w:sz w:val="24"/>
          <w:szCs w:val="24"/>
        </w:rPr>
        <w:t xml:space="preserve"> Commissione famiglia</w:t>
      </w:r>
      <w:r w:rsidRPr="0049712D">
        <w:rPr>
          <w:rFonts w:ascii="Times New Roman" w:hAnsi="Times New Roman" w:cs="Times New Roman"/>
          <w:sz w:val="24"/>
          <w:szCs w:val="24"/>
        </w:rPr>
        <w:t xml:space="preserve"> del Consiglio dell’Ordine degli avvocati</w:t>
      </w:r>
      <w:r w:rsidR="004D72D5" w:rsidRPr="0049712D">
        <w:rPr>
          <w:rFonts w:ascii="Times New Roman" w:hAnsi="Times New Roman" w:cs="Times New Roman"/>
          <w:sz w:val="24"/>
          <w:szCs w:val="24"/>
        </w:rPr>
        <w:t xml:space="preserve"> </w:t>
      </w:r>
      <w:r w:rsidRPr="0049712D">
        <w:rPr>
          <w:rFonts w:ascii="Times New Roman" w:hAnsi="Times New Roman" w:cs="Times New Roman"/>
          <w:sz w:val="24"/>
          <w:szCs w:val="24"/>
        </w:rPr>
        <w:t xml:space="preserve">e </w:t>
      </w:r>
      <w:r w:rsidR="00FF5499" w:rsidRPr="0049712D">
        <w:rPr>
          <w:rFonts w:ascii="Times New Roman" w:hAnsi="Times New Roman" w:cs="Times New Roman"/>
          <w:sz w:val="24"/>
          <w:szCs w:val="24"/>
        </w:rPr>
        <w:t>l’</w:t>
      </w:r>
      <w:r w:rsidR="00610D9D" w:rsidRPr="0049712D">
        <w:rPr>
          <w:rFonts w:ascii="Times New Roman" w:hAnsi="Times New Roman" w:cs="Times New Roman"/>
          <w:sz w:val="24"/>
          <w:szCs w:val="24"/>
        </w:rPr>
        <w:t xml:space="preserve">Organismo di mediazione forense </w:t>
      </w:r>
      <w:r w:rsidR="000E106F" w:rsidRPr="0049712D">
        <w:rPr>
          <w:rFonts w:ascii="Times New Roman" w:hAnsi="Times New Roman" w:cs="Times New Roman"/>
          <w:sz w:val="24"/>
          <w:szCs w:val="24"/>
        </w:rPr>
        <w:t>dell’Ordine degli Avvocati di Roma</w:t>
      </w:r>
      <w:r w:rsidR="00D17E38" w:rsidRPr="0049712D">
        <w:rPr>
          <w:rFonts w:ascii="Times New Roman" w:hAnsi="Times New Roman" w:cs="Times New Roman"/>
          <w:sz w:val="24"/>
          <w:szCs w:val="24"/>
        </w:rPr>
        <w:t xml:space="preserve">, </w:t>
      </w:r>
      <w:r w:rsidR="0009604C" w:rsidRPr="0049712D">
        <w:rPr>
          <w:rFonts w:ascii="Times New Roman" w:hAnsi="Times New Roman" w:cs="Times New Roman"/>
          <w:sz w:val="24"/>
          <w:szCs w:val="24"/>
        </w:rPr>
        <w:t xml:space="preserve">hanno aperto </w:t>
      </w:r>
      <w:r w:rsidR="00FF5499" w:rsidRPr="0049712D">
        <w:rPr>
          <w:rFonts w:ascii="Times New Roman" w:hAnsi="Times New Roman" w:cs="Times New Roman"/>
          <w:sz w:val="24"/>
          <w:szCs w:val="24"/>
        </w:rPr>
        <w:t xml:space="preserve">all’interno </w:t>
      </w:r>
      <w:r w:rsidR="00F168AB" w:rsidRPr="0049712D">
        <w:rPr>
          <w:rFonts w:ascii="Times New Roman" w:hAnsi="Times New Roman" w:cs="Times New Roman"/>
          <w:sz w:val="24"/>
          <w:szCs w:val="24"/>
        </w:rPr>
        <w:t xml:space="preserve">del Tribunale </w:t>
      </w:r>
      <w:r w:rsidR="0009604C" w:rsidRPr="0049712D">
        <w:rPr>
          <w:rFonts w:ascii="Times New Roman" w:hAnsi="Times New Roman" w:cs="Times New Roman"/>
          <w:sz w:val="24"/>
          <w:szCs w:val="24"/>
        </w:rPr>
        <w:t xml:space="preserve">uno </w:t>
      </w:r>
      <w:r w:rsidR="00C92F5D" w:rsidRPr="0049712D">
        <w:rPr>
          <w:rFonts w:ascii="Times New Roman" w:hAnsi="Times New Roman" w:cs="Times New Roman"/>
          <w:sz w:val="24"/>
          <w:szCs w:val="24"/>
        </w:rPr>
        <w:t xml:space="preserve">sportello </w:t>
      </w:r>
      <w:r w:rsidR="00486F1F" w:rsidRPr="0049712D">
        <w:rPr>
          <w:rFonts w:ascii="Times New Roman" w:hAnsi="Times New Roman" w:cs="Times New Roman"/>
          <w:sz w:val="24"/>
          <w:szCs w:val="24"/>
        </w:rPr>
        <w:t>di</w:t>
      </w:r>
      <w:r w:rsidR="00C92F5D" w:rsidRPr="0049712D">
        <w:rPr>
          <w:rFonts w:ascii="Times New Roman" w:hAnsi="Times New Roman" w:cs="Times New Roman"/>
          <w:sz w:val="24"/>
          <w:szCs w:val="24"/>
        </w:rPr>
        <w:t xml:space="preserve"> </w:t>
      </w:r>
      <w:r w:rsidR="006754E6" w:rsidRPr="0049712D">
        <w:rPr>
          <w:rFonts w:ascii="Times New Roman" w:hAnsi="Times New Roman" w:cs="Times New Roman"/>
          <w:sz w:val="24"/>
          <w:szCs w:val="24"/>
        </w:rPr>
        <w:t>informazioni</w:t>
      </w:r>
      <w:r w:rsidR="005E3B27" w:rsidRPr="0049712D">
        <w:rPr>
          <w:rFonts w:ascii="Times New Roman" w:hAnsi="Times New Roman" w:cs="Times New Roman"/>
          <w:sz w:val="24"/>
          <w:szCs w:val="24"/>
        </w:rPr>
        <w:t xml:space="preserve"> al pubblico</w:t>
      </w:r>
      <w:r w:rsidR="006754E6" w:rsidRPr="0049712D">
        <w:rPr>
          <w:rFonts w:ascii="Times New Roman" w:hAnsi="Times New Roman" w:cs="Times New Roman"/>
          <w:sz w:val="24"/>
          <w:szCs w:val="24"/>
        </w:rPr>
        <w:t xml:space="preserve"> sulla mediazione familiare</w:t>
      </w:r>
      <w:r w:rsidR="005E3B27" w:rsidRPr="0049712D">
        <w:rPr>
          <w:rFonts w:ascii="Times New Roman" w:hAnsi="Times New Roman" w:cs="Times New Roman"/>
          <w:sz w:val="24"/>
          <w:szCs w:val="24"/>
        </w:rPr>
        <w:t>, sulla ne</w:t>
      </w:r>
      <w:r w:rsidR="007329A2" w:rsidRPr="0049712D">
        <w:rPr>
          <w:rFonts w:ascii="Times New Roman" w:hAnsi="Times New Roman" w:cs="Times New Roman"/>
          <w:sz w:val="24"/>
          <w:szCs w:val="24"/>
        </w:rPr>
        <w:t>goziazione assistita e gli altri strumenti ADR</w:t>
      </w:r>
      <w:r w:rsidR="00014494" w:rsidRPr="0049712D">
        <w:rPr>
          <w:rFonts w:ascii="Times New Roman" w:hAnsi="Times New Roman" w:cs="Times New Roman"/>
          <w:sz w:val="24"/>
          <w:szCs w:val="24"/>
        </w:rPr>
        <w:t xml:space="preserve"> </w:t>
      </w:r>
      <w:r w:rsidR="00F40CD7" w:rsidRPr="0049712D">
        <w:rPr>
          <w:rFonts w:ascii="Times New Roman" w:hAnsi="Times New Roman" w:cs="Times New Roman"/>
          <w:sz w:val="24"/>
          <w:szCs w:val="24"/>
        </w:rPr>
        <w:t>per far conoscere e favorire</w:t>
      </w:r>
      <w:r w:rsidR="005E3B27" w:rsidRPr="0049712D">
        <w:rPr>
          <w:rFonts w:ascii="Times New Roman" w:hAnsi="Times New Roman" w:cs="Times New Roman"/>
          <w:sz w:val="24"/>
          <w:szCs w:val="24"/>
        </w:rPr>
        <w:t xml:space="preserve"> </w:t>
      </w:r>
      <w:r w:rsidR="004D72D5" w:rsidRPr="0049712D">
        <w:rPr>
          <w:rFonts w:ascii="Times New Roman" w:hAnsi="Times New Roman" w:cs="Times New Roman"/>
          <w:sz w:val="24"/>
          <w:szCs w:val="24"/>
        </w:rPr>
        <w:t xml:space="preserve">l’accesso agli </w:t>
      </w:r>
      <w:r w:rsidR="00F40CD7" w:rsidRPr="0049712D">
        <w:rPr>
          <w:rFonts w:ascii="Times New Roman" w:hAnsi="Times New Roman" w:cs="Times New Roman"/>
          <w:sz w:val="24"/>
          <w:szCs w:val="24"/>
        </w:rPr>
        <w:t xml:space="preserve">strumenti di </w:t>
      </w:r>
      <w:r w:rsidR="005E3B27" w:rsidRPr="0049712D">
        <w:rPr>
          <w:rFonts w:ascii="Times New Roman" w:hAnsi="Times New Roman" w:cs="Times New Roman"/>
          <w:sz w:val="24"/>
          <w:szCs w:val="24"/>
        </w:rPr>
        <w:t>soluzion</w:t>
      </w:r>
      <w:r w:rsidR="00483376" w:rsidRPr="0049712D">
        <w:rPr>
          <w:rFonts w:ascii="Times New Roman" w:hAnsi="Times New Roman" w:cs="Times New Roman"/>
          <w:sz w:val="24"/>
          <w:szCs w:val="24"/>
        </w:rPr>
        <w:t xml:space="preserve">e </w:t>
      </w:r>
      <w:r w:rsidR="005E3B27" w:rsidRPr="0049712D">
        <w:rPr>
          <w:rFonts w:ascii="Times New Roman" w:hAnsi="Times New Roman" w:cs="Times New Roman"/>
          <w:sz w:val="24"/>
          <w:szCs w:val="24"/>
        </w:rPr>
        <w:t>dei conflitti in materia di famiglia</w:t>
      </w:r>
      <w:r w:rsidR="00F40CD7" w:rsidRPr="0049712D">
        <w:rPr>
          <w:rFonts w:ascii="Times New Roman" w:hAnsi="Times New Roman" w:cs="Times New Roman"/>
          <w:sz w:val="24"/>
          <w:szCs w:val="24"/>
        </w:rPr>
        <w:t>.</w:t>
      </w:r>
      <w:r w:rsidR="00170A6C" w:rsidRPr="0049712D">
        <w:rPr>
          <w:rFonts w:ascii="Times New Roman" w:hAnsi="Times New Roman" w:cs="Times New Roman"/>
          <w:sz w:val="24"/>
          <w:szCs w:val="24"/>
        </w:rPr>
        <w:t xml:space="preserve"> </w:t>
      </w:r>
    </w:p>
    <w:p w14:paraId="08D3C5CC" w14:textId="0290E174" w:rsidR="00116469" w:rsidRPr="00864624" w:rsidRDefault="00116469" w:rsidP="00864624">
      <w:pPr>
        <w:pStyle w:val="Paragrafoelenco"/>
        <w:numPr>
          <w:ilvl w:val="1"/>
          <w:numId w:val="11"/>
        </w:numPr>
        <w:spacing w:before="100" w:beforeAutospacing="1" w:after="0" w:line="240" w:lineRule="auto"/>
        <w:jc w:val="both"/>
        <w:rPr>
          <w:rFonts w:ascii="Times New Roman" w:hAnsi="Times New Roman" w:cs="Times New Roman"/>
          <w:b/>
          <w:sz w:val="24"/>
          <w:szCs w:val="24"/>
          <w:u w:val="single"/>
        </w:rPr>
      </w:pPr>
      <w:r w:rsidRPr="00864624">
        <w:rPr>
          <w:rFonts w:ascii="Times New Roman" w:hAnsi="Times New Roman" w:cs="Times New Roman"/>
          <w:b/>
          <w:sz w:val="24"/>
          <w:szCs w:val="24"/>
          <w:u w:val="single"/>
        </w:rPr>
        <w:t>Monitoraggio sulla NA</w:t>
      </w:r>
    </w:p>
    <w:p w14:paraId="778B1A5F" w14:textId="77777777" w:rsidR="00864624" w:rsidRPr="0049712D" w:rsidRDefault="00864624" w:rsidP="00864624">
      <w:pPr>
        <w:pStyle w:val="Paragrafoelenco"/>
        <w:spacing w:before="100" w:beforeAutospacing="1" w:after="0" w:line="240" w:lineRule="auto"/>
        <w:ind w:left="1440"/>
        <w:jc w:val="both"/>
        <w:rPr>
          <w:rFonts w:ascii="Times New Roman" w:hAnsi="Times New Roman" w:cs="Times New Roman"/>
          <w:b/>
          <w:sz w:val="24"/>
          <w:szCs w:val="24"/>
          <w:u w:val="single"/>
        </w:rPr>
      </w:pPr>
    </w:p>
    <w:p w14:paraId="64A1C5ED" w14:textId="77777777" w:rsidR="001C5E7A" w:rsidRDefault="00D212B7" w:rsidP="001C5E7A">
      <w:pPr>
        <w:spacing w:line="240" w:lineRule="auto"/>
        <w:ind w:right="-143" w:firstLine="426"/>
        <w:jc w:val="both"/>
        <w:rPr>
          <w:rFonts w:ascii="Times New Roman" w:hAnsi="Times New Roman" w:cs="Times New Roman"/>
          <w:sz w:val="24"/>
          <w:szCs w:val="24"/>
        </w:rPr>
      </w:pPr>
      <w:r w:rsidRPr="0049712D">
        <w:rPr>
          <w:rFonts w:ascii="Times New Roman" w:hAnsi="Times New Roman" w:cs="Times New Roman"/>
          <w:sz w:val="24"/>
          <w:szCs w:val="24"/>
        </w:rPr>
        <w:t>G</w:t>
      </w:r>
      <w:r w:rsidR="00503C23" w:rsidRPr="0049712D">
        <w:rPr>
          <w:rFonts w:ascii="Times New Roman" w:hAnsi="Times New Roman" w:cs="Times New Roman"/>
          <w:sz w:val="24"/>
          <w:szCs w:val="24"/>
        </w:rPr>
        <w:t xml:space="preserve">li Osservatori hanno posto attenzione allo strumento della negoziazione assistita fin da quando è stato </w:t>
      </w:r>
      <w:r w:rsidR="00D53A14" w:rsidRPr="0049712D">
        <w:rPr>
          <w:rFonts w:ascii="Times New Roman" w:hAnsi="Times New Roman" w:cs="Times New Roman"/>
          <w:sz w:val="24"/>
          <w:szCs w:val="24"/>
        </w:rPr>
        <w:t xml:space="preserve">introdotto nel nostro ordinamento mettendo in evidenza il fatto che </w:t>
      </w:r>
      <w:r w:rsidR="009B66F2" w:rsidRPr="0049712D">
        <w:rPr>
          <w:rFonts w:ascii="Times New Roman" w:hAnsi="Times New Roman" w:cs="Times New Roman"/>
          <w:sz w:val="24"/>
          <w:szCs w:val="24"/>
        </w:rPr>
        <w:t xml:space="preserve">l’impegno a cooperare lealmente ed in buona fede per il raggiungimento dell’accordo, previsto dalle norme sulla negoziazione assistita, è applicabile come principio cardine a tutti gli strumenti di ADR, perché costituisce una precisa e formale scelta di una modalità non </w:t>
      </w:r>
      <w:proofErr w:type="spellStart"/>
      <w:r w:rsidR="009B66F2" w:rsidRPr="0049712D">
        <w:rPr>
          <w:rFonts w:ascii="Times New Roman" w:hAnsi="Times New Roman" w:cs="Times New Roman"/>
          <w:sz w:val="24"/>
          <w:szCs w:val="24"/>
        </w:rPr>
        <w:t>avversariale</w:t>
      </w:r>
      <w:proofErr w:type="spellEnd"/>
      <w:r w:rsidR="009B66F2" w:rsidRPr="0049712D">
        <w:rPr>
          <w:rFonts w:ascii="Times New Roman" w:hAnsi="Times New Roman" w:cs="Times New Roman"/>
          <w:sz w:val="24"/>
          <w:szCs w:val="24"/>
        </w:rPr>
        <w:t xml:space="preserve"> ma negoziata di risoluzione del conflitto.</w:t>
      </w:r>
    </w:p>
    <w:p w14:paraId="071A6F4E" w14:textId="44E58D7F" w:rsidR="004E66A8" w:rsidRPr="0049712D" w:rsidRDefault="004E66A8" w:rsidP="001C5E7A">
      <w:pPr>
        <w:spacing w:line="240" w:lineRule="auto"/>
        <w:ind w:right="-143" w:firstLine="426"/>
        <w:jc w:val="both"/>
        <w:rPr>
          <w:rFonts w:ascii="Times New Roman" w:hAnsi="Times New Roman" w:cs="Times New Roman"/>
          <w:sz w:val="24"/>
          <w:szCs w:val="24"/>
        </w:rPr>
      </w:pPr>
      <w:r w:rsidRPr="0049712D">
        <w:rPr>
          <w:rFonts w:ascii="Times New Roman" w:hAnsi="Times New Roman" w:cs="Times New Roman"/>
          <w:sz w:val="24"/>
          <w:szCs w:val="24"/>
        </w:rPr>
        <w:t>L’Osservatorio</w:t>
      </w:r>
      <w:r w:rsidR="0003149B" w:rsidRPr="0049712D">
        <w:rPr>
          <w:rFonts w:ascii="Times New Roman" w:hAnsi="Times New Roman" w:cs="Times New Roman"/>
          <w:sz w:val="24"/>
          <w:szCs w:val="24"/>
        </w:rPr>
        <w:t xml:space="preserve"> ha curato e mantiene </w:t>
      </w:r>
      <w:r w:rsidR="0003149B" w:rsidRPr="008A0164">
        <w:rPr>
          <w:rFonts w:ascii="Times New Roman" w:hAnsi="Times New Roman" w:cs="Times New Roman"/>
          <w:sz w:val="24"/>
          <w:szCs w:val="24"/>
        </w:rPr>
        <w:t>aggiornato</w:t>
      </w:r>
      <w:r w:rsidR="008308D7" w:rsidRPr="008A0164">
        <w:rPr>
          <w:rFonts w:ascii="Times New Roman" w:hAnsi="Times New Roman" w:cs="Times New Roman"/>
          <w:sz w:val="24"/>
          <w:szCs w:val="24"/>
        </w:rPr>
        <w:t xml:space="preserve"> dal 2016</w:t>
      </w:r>
      <w:r w:rsidR="0003149B" w:rsidRPr="008A0164">
        <w:rPr>
          <w:rFonts w:ascii="Times New Roman" w:hAnsi="Times New Roman" w:cs="Times New Roman"/>
          <w:sz w:val="24"/>
          <w:szCs w:val="24"/>
        </w:rPr>
        <w:t xml:space="preserve">, </w:t>
      </w:r>
      <w:r w:rsidR="00F7651B" w:rsidRPr="008A0164">
        <w:rPr>
          <w:rFonts w:ascii="Times New Roman" w:hAnsi="Times New Roman" w:cs="Times New Roman"/>
          <w:sz w:val="24"/>
          <w:szCs w:val="24"/>
        </w:rPr>
        <w:t>e a disposizione</w:t>
      </w:r>
      <w:r w:rsidR="00F7651B" w:rsidRPr="0049712D">
        <w:rPr>
          <w:rFonts w:ascii="Times New Roman" w:hAnsi="Times New Roman" w:cs="Times New Roman"/>
          <w:sz w:val="24"/>
          <w:szCs w:val="24"/>
        </w:rPr>
        <w:t xml:space="preserve"> di tutti i colleghi,</w:t>
      </w:r>
      <w:r w:rsidR="00493594" w:rsidRPr="0049712D">
        <w:rPr>
          <w:rFonts w:ascii="Times New Roman" w:hAnsi="Times New Roman" w:cs="Times New Roman"/>
          <w:sz w:val="24"/>
          <w:szCs w:val="24"/>
        </w:rPr>
        <w:t xml:space="preserve"> attraverso il sito dell’Osservatorio di Roma e </w:t>
      </w:r>
      <w:r w:rsidR="007034C5" w:rsidRPr="0049712D">
        <w:rPr>
          <w:rFonts w:ascii="Times New Roman" w:hAnsi="Times New Roman" w:cs="Times New Roman"/>
          <w:sz w:val="24"/>
          <w:szCs w:val="24"/>
        </w:rPr>
        <w:t>la collaborazione dell’Ufficio della Procura della Repubblica presso il Tribunale di Roma,</w:t>
      </w:r>
      <w:r w:rsidR="00F7651B" w:rsidRPr="0049712D">
        <w:rPr>
          <w:rFonts w:ascii="Times New Roman" w:hAnsi="Times New Roman" w:cs="Times New Roman"/>
          <w:sz w:val="24"/>
          <w:szCs w:val="24"/>
        </w:rPr>
        <w:t xml:space="preserve"> </w:t>
      </w:r>
      <w:r w:rsidR="0003149B" w:rsidRPr="0049712D">
        <w:rPr>
          <w:rFonts w:ascii="Times New Roman" w:hAnsi="Times New Roman" w:cs="Times New Roman"/>
          <w:sz w:val="24"/>
          <w:szCs w:val="24"/>
        </w:rPr>
        <w:t xml:space="preserve"> il</w:t>
      </w:r>
      <w:r w:rsidRPr="0049712D">
        <w:rPr>
          <w:rFonts w:ascii="Times New Roman" w:hAnsi="Times New Roman" w:cs="Times New Roman"/>
          <w:sz w:val="24"/>
          <w:szCs w:val="24"/>
        </w:rPr>
        <w:t xml:space="preserve"> Vademecum</w:t>
      </w:r>
      <w:r w:rsidR="00F7651B" w:rsidRPr="0049712D">
        <w:rPr>
          <w:rFonts w:ascii="Times New Roman" w:hAnsi="Times New Roman" w:cs="Times New Roman"/>
          <w:sz w:val="24"/>
          <w:szCs w:val="24"/>
        </w:rPr>
        <w:t xml:space="preserve"> </w:t>
      </w:r>
      <w:r w:rsidRPr="0049712D">
        <w:rPr>
          <w:rFonts w:ascii="Times New Roman" w:hAnsi="Times New Roman" w:cs="Times New Roman"/>
          <w:sz w:val="24"/>
          <w:szCs w:val="24"/>
        </w:rPr>
        <w:t>che contiene le istruzioni concrete per un corretto utilizzo del procedimento di negoziazione assistita in materia di famiglia</w:t>
      </w:r>
      <w:r w:rsidR="005D1781">
        <w:rPr>
          <w:rFonts w:ascii="Times New Roman" w:hAnsi="Times New Roman" w:cs="Times New Roman"/>
          <w:sz w:val="24"/>
          <w:szCs w:val="24"/>
        </w:rPr>
        <w:t xml:space="preserve"> </w:t>
      </w:r>
      <w:r w:rsidR="005D1781" w:rsidRPr="00C96F33">
        <w:rPr>
          <w:rFonts w:ascii="Times New Roman" w:hAnsi="Times New Roman" w:cs="Times New Roman"/>
          <w:sz w:val="24"/>
          <w:szCs w:val="24"/>
          <w:u w:val="single"/>
        </w:rPr>
        <w:t>(si allega il testo del Vademecum)</w:t>
      </w:r>
      <w:r w:rsidR="005D1781">
        <w:rPr>
          <w:rFonts w:ascii="Times New Roman" w:hAnsi="Times New Roman" w:cs="Times New Roman"/>
          <w:sz w:val="24"/>
          <w:szCs w:val="24"/>
        </w:rPr>
        <w:t>.</w:t>
      </w:r>
    </w:p>
    <w:p w14:paraId="54247B75" w14:textId="6E7B3736" w:rsidR="00864624" w:rsidRDefault="00082D7E" w:rsidP="00841D3D">
      <w:pPr>
        <w:spacing w:before="100" w:beforeAutospacing="1" w:after="0" w:line="240" w:lineRule="auto"/>
        <w:ind w:firstLine="708"/>
        <w:jc w:val="both"/>
        <w:rPr>
          <w:rFonts w:ascii="Times New Roman" w:hAnsi="Times New Roman" w:cs="Times New Roman"/>
          <w:sz w:val="24"/>
          <w:szCs w:val="24"/>
        </w:rPr>
      </w:pPr>
      <w:r w:rsidRPr="0049712D">
        <w:rPr>
          <w:rFonts w:ascii="Times New Roman" w:hAnsi="Times New Roman" w:cs="Times New Roman"/>
          <w:sz w:val="24"/>
          <w:szCs w:val="24"/>
        </w:rPr>
        <w:t>I numeri delle negoziazioni assistite rilevati attraverso la Procura della Repubblica presso il Tribunale di Roma sono in costante aumento</w:t>
      </w:r>
      <w:r w:rsidR="00864624">
        <w:rPr>
          <w:rFonts w:ascii="Times New Roman" w:hAnsi="Times New Roman" w:cs="Times New Roman"/>
          <w:sz w:val="24"/>
          <w:szCs w:val="24"/>
        </w:rPr>
        <w:t xml:space="preserve"> come emerge dalla tabella sottostante.</w:t>
      </w:r>
    </w:p>
    <w:p w14:paraId="3ACF82BC" w14:textId="77777777" w:rsidR="00864624" w:rsidRDefault="00864624" w:rsidP="00CA461B">
      <w:pPr>
        <w:spacing w:before="100" w:beforeAutospacing="1" w:after="0" w:line="240" w:lineRule="auto"/>
        <w:ind w:firstLine="708"/>
        <w:jc w:val="both"/>
        <w:rPr>
          <w:rFonts w:ascii="Times New Roman" w:hAnsi="Times New Roman" w:cs="Times New Roman"/>
          <w:sz w:val="24"/>
          <w:szCs w:val="24"/>
        </w:rPr>
      </w:pPr>
    </w:p>
    <w:tbl>
      <w:tblPr>
        <w:tblStyle w:val="Sfondochiaro-Colore1"/>
        <w:tblW w:w="5669" w:type="dxa"/>
        <w:tblInd w:w="284" w:type="dxa"/>
        <w:tblLook w:val="04A0" w:firstRow="1" w:lastRow="0" w:firstColumn="1" w:lastColumn="0" w:noHBand="0" w:noVBand="1"/>
      </w:tblPr>
      <w:tblGrid>
        <w:gridCol w:w="788"/>
        <w:gridCol w:w="1034"/>
        <w:gridCol w:w="1740"/>
        <w:gridCol w:w="960"/>
        <w:gridCol w:w="1259"/>
      </w:tblGrid>
      <w:tr w:rsidR="00864624" w:rsidRPr="006944F7" w14:paraId="3D55A5F7" w14:textId="77777777" w:rsidTr="008329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6" w:type="dxa"/>
            <w:noWrap/>
            <w:hideMark/>
          </w:tcPr>
          <w:p w14:paraId="51DF620A" w14:textId="77777777" w:rsidR="00864624" w:rsidRPr="006944F7" w:rsidRDefault="00864624" w:rsidP="00832941">
            <w:pPr>
              <w:spacing w:before="100" w:beforeAutospacing="1" w:after="100" w:afterAutospacing="1"/>
            </w:pPr>
            <w:r w:rsidRPr="006944F7">
              <w:t>ANNO</w:t>
            </w:r>
          </w:p>
        </w:tc>
        <w:tc>
          <w:tcPr>
            <w:tcW w:w="1034" w:type="dxa"/>
            <w:noWrap/>
            <w:hideMark/>
          </w:tcPr>
          <w:p w14:paraId="01C0FDAB" w14:textId="77777777" w:rsidR="00864624" w:rsidRPr="006944F7" w:rsidRDefault="00864624" w:rsidP="00832941">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pPr>
            <w:r w:rsidRPr="006944F7">
              <w:rPr>
                <w:rStyle w:val="Enfasigrassetto"/>
              </w:rPr>
              <w:t>ACCORDI</w:t>
            </w:r>
          </w:p>
        </w:tc>
        <w:tc>
          <w:tcPr>
            <w:tcW w:w="1740" w:type="dxa"/>
            <w:noWrap/>
            <w:hideMark/>
          </w:tcPr>
          <w:p w14:paraId="63D0290A" w14:textId="77777777" w:rsidR="00864624" w:rsidRPr="006944F7" w:rsidRDefault="00864624" w:rsidP="00832941">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pPr>
            <w:r w:rsidRPr="006944F7">
              <w:rPr>
                <w:rStyle w:val="Enfasigrassetto"/>
              </w:rPr>
              <w:t>SEPARAZIONI</w:t>
            </w:r>
          </w:p>
        </w:tc>
        <w:tc>
          <w:tcPr>
            <w:tcW w:w="960" w:type="dxa"/>
            <w:noWrap/>
            <w:hideMark/>
          </w:tcPr>
          <w:p w14:paraId="43C34D03" w14:textId="77777777" w:rsidR="00864624" w:rsidRPr="006944F7" w:rsidRDefault="00864624" w:rsidP="00832941">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pPr>
            <w:r w:rsidRPr="006944F7">
              <w:rPr>
                <w:rStyle w:val="Enfasigrassetto"/>
              </w:rPr>
              <w:t>DIVORZI</w:t>
            </w:r>
          </w:p>
        </w:tc>
        <w:tc>
          <w:tcPr>
            <w:tcW w:w="1259" w:type="dxa"/>
            <w:noWrap/>
            <w:hideMark/>
          </w:tcPr>
          <w:p w14:paraId="366E378B" w14:textId="77777777" w:rsidR="00864624" w:rsidRPr="006944F7" w:rsidRDefault="00864624" w:rsidP="00832941">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pPr>
            <w:r w:rsidRPr="006944F7">
              <w:rPr>
                <w:rStyle w:val="Enfasigrassetto"/>
              </w:rPr>
              <w:t>MODIFICHE</w:t>
            </w:r>
          </w:p>
        </w:tc>
      </w:tr>
      <w:tr w:rsidR="00864624" w14:paraId="21D46A70" w14:textId="77777777" w:rsidTr="008329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6" w:type="dxa"/>
            <w:noWrap/>
            <w:hideMark/>
          </w:tcPr>
          <w:p w14:paraId="19CCBFBD" w14:textId="77777777" w:rsidR="00864624" w:rsidRDefault="00864624" w:rsidP="00832941">
            <w:pPr>
              <w:spacing w:before="100" w:beforeAutospacing="1" w:after="100" w:afterAutospacing="1"/>
            </w:pPr>
            <w:r>
              <w:t> </w:t>
            </w:r>
          </w:p>
        </w:tc>
        <w:tc>
          <w:tcPr>
            <w:tcW w:w="1034" w:type="dxa"/>
            <w:noWrap/>
            <w:hideMark/>
          </w:tcPr>
          <w:p w14:paraId="5EE46251" w14:textId="77777777" w:rsidR="00864624" w:rsidRDefault="00864624" w:rsidP="0083294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Pr>
                <w:rStyle w:val="Enfasigrassetto"/>
              </w:rPr>
              <w:t> </w:t>
            </w:r>
          </w:p>
        </w:tc>
        <w:tc>
          <w:tcPr>
            <w:tcW w:w="1740" w:type="dxa"/>
            <w:noWrap/>
            <w:hideMark/>
          </w:tcPr>
          <w:p w14:paraId="7A9CA127" w14:textId="77777777" w:rsidR="00864624" w:rsidRDefault="00864624" w:rsidP="0083294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Pr>
                <w:rStyle w:val="Enfasigrassetto"/>
              </w:rPr>
              <w:t> </w:t>
            </w:r>
          </w:p>
        </w:tc>
        <w:tc>
          <w:tcPr>
            <w:tcW w:w="960" w:type="dxa"/>
            <w:noWrap/>
            <w:hideMark/>
          </w:tcPr>
          <w:p w14:paraId="65DF4C4D" w14:textId="77777777" w:rsidR="00864624" w:rsidRDefault="00864624" w:rsidP="0083294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Pr>
                <w:rStyle w:val="Enfasigrassetto"/>
              </w:rPr>
              <w:t> </w:t>
            </w:r>
          </w:p>
        </w:tc>
        <w:tc>
          <w:tcPr>
            <w:tcW w:w="1259" w:type="dxa"/>
            <w:noWrap/>
            <w:hideMark/>
          </w:tcPr>
          <w:p w14:paraId="427F1EFB" w14:textId="77777777" w:rsidR="00864624" w:rsidRDefault="00864624" w:rsidP="0083294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Pr>
                <w:rStyle w:val="Enfasigrassetto"/>
              </w:rPr>
              <w:t> </w:t>
            </w:r>
          </w:p>
        </w:tc>
      </w:tr>
      <w:tr w:rsidR="00864624" w14:paraId="30C5597B" w14:textId="77777777" w:rsidTr="00832941">
        <w:trPr>
          <w:trHeight w:val="300"/>
        </w:trPr>
        <w:tc>
          <w:tcPr>
            <w:cnfStyle w:val="001000000000" w:firstRow="0" w:lastRow="0" w:firstColumn="1" w:lastColumn="0" w:oddVBand="0" w:evenVBand="0" w:oddHBand="0" w:evenHBand="0" w:firstRowFirstColumn="0" w:firstRowLastColumn="0" w:lastRowFirstColumn="0" w:lastRowLastColumn="0"/>
            <w:tcW w:w="676" w:type="dxa"/>
            <w:noWrap/>
            <w:hideMark/>
          </w:tcPr>
          <w:p w14:paraId="6D0409B3" w14:textId="77777777" w:rsidR="00864624" w:rsidRDefault="00864624" w:rsidP="00832941">
            <w:pPr>
              <w:spacing w:before="100" w:beforeAutospacing="1" w:after="100" w:afterAutospacing="1"/>
              <w:jc w:val="right"/>
            </w:pPr>
            <w:r>
              <w:rPr>
                <w:rStyle w:val="Enfasigrassetto"/>
              </w:rPr>
              <w:t>2014</w:t>
            </w:r>
          </w:p>
        </w:tc>
        <w:tc>
          <w:tcPr>
            <w:tcW w:w="1034" w:type="dxa"/>
            <w:noWrap/>
            <w:hideMark/>
          </w:tcPr>
          <w:p w14:paraId="4EF50F03" w14:textId="77777777" w:rsidR="00864624" w:rsidRDefault="00864624" w:rsidP="00832941">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t>33</w:t>
            </w:r>
          </w:p>
        </w:tc>
        <w:tc>
          <w:tcPr>
            <w:tcW w:w="1740" w:type="dxa"/>
            <w:noWrap/>
            <w:hideMark/>
          </w:tcPr>
          <w:p w14:paraId="2A4DD104" w14:textId="77777777" w:rsidR="00864624" w:rsidRDefault="00864624" w:rsidP="00832941">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t>19</w:t>
            </w:r>
          </w:p>
        </w:tc>
        <w:tc>
          <w:tcPr>
            <w:tcW w:w="960" w:type="dxa"/>
            <w:noWrap/>
            <w:hideMark/>
          </w:tcPr>
          <w:p w14:paraId="065841A6" w14:textId="77777777" w:rsidR="00864624" w:rsidRDefault="00864624" w:rsidP="00832941">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t>14</w:t>
            </w:r>
          </w:p>
        </w:tc>
        <w:tc>
          <w:tcPr>
            <w:tcW w:w="1259" w:type="dxa"/>
            <w:noWrap/>
            <w:hideMark/>
          </w:tcPr>
          <w:p w14:paraId="02DB43D1" w14:textId="77777777" w:rsidR="00864624" w:rsidRDefault="00864624" w:rsidP="00832941">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t>0</w:t>
            </w:r>
          </w:p>
        </w:tc>
      </w:tr>
      <w:tr w:rsidR="00864624" w14:paraId="126B9E83" w14:textId="77777777" w:rsidTr="008329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6" w:type="dxa"/>
            <w:noWrap/>
            <w:hideMark/>
          </w:tcPr>
          <w:p w14:paraId="1E069223" w14:textId="77777777" w:rsidR="00864624" w:rsidRDefault="00864624" w:rsidP="00832941">
            <w:pPr>
              <w:spacing w:before="100" w:beforeAutospacing="1" w:after="100" w:afterAutospacing="1"/>
              <w:jc w:val="right"/>
            </w:pPr>
            <w:r>
              <w:rPr>
                <w:rStyle w:val="Enfasigrassetto"/>
              </w:rPr>
              <w:t>2015</w:t>
            </w:r>
          </w:p>
        </w:tc>
        <w:tc>
          <w:tcPr>
            <w:tcW w:w="1034" w:type="dxa"/>
            <w:noWrap/>
            <w:hideMark/>
          </w:tcPr>
          <w:p w14:paraId="7D211A02" w14:textId="77777777" w:rsidR="00864624" w:rsidRDefault="00864624" w:rsidP="00832941">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t>1064</w:t>
            </w:r>
          </w:p>
        </w:tc>
        <w:tc>
          <w:tcPr>
            <w:tcW w:w="1740" w:type="dxa"/>
            <w:noWrap/>
            <w:hideMark/>
          </w:tcPr>
          <w:p w14:paraId="79EFC1FF" w14:textId="77777777" w:rsidR="00864624" w:rsidRDefault="00864624" w:rsidP="00832941">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t>540</w:t>
            </w:r>
          </w:p>
        </w:tc>
        <w:tc>
          <w:tcPr>
            <w:tcW w:w="960" w:type="dxa"/>
            <w:noWrap/>
            <w:hideMark/>
          </w:tcPr>
          <w:p w14:paraId="7DF25CD4" w14:textId="77777777" w:rsidR="00864624" w:rsidRDefault="00864624" w:rsidP="00832941">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t>460</w:t>
            </w:r>
          </w:p>
        </w:tc>
        <w:tc>
          <w:tcPr>
            <w:tcW w:w="1259" w:type="dxa"/>
            <w:noWrap/>
            <w:hideMark/>
          </w:tcPr>
          <w:p w14:paraId="55E02155" w14:textId="77777777" w:rsidR="00864624" w:rsidRDefault="00864624" w:rsidP="00832941">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t>64</w:t>
            </w:r>
          </w:p>
        </w:tc>
      </w:tr>
      <w:tr w:rsidR="00864624" w14:paraId="7AA0EB53" w14:textId="77777777" w:rsidTr="00832941">
        <w:trPr>
          <w:trHeight w:val="300"/>
        </w:trPr>
        <w:tc>
          <w:tcPr>
            <w:cnfStyle w:val="001000000000" w:firstRow="0" w:lastRow="0" w:firstColumn="1" w:lastColumn="0" w:oddVBand="0" w:evenVBand="0" w:oddHBand="0" w:evenHBand="0" w:firstRowFirstColumn="0" w:firstRowLastColumn="0" w:lastRowFirstColumn="0" w:lastRowLastColumn="0"/>
            <w:tcW w:w="676" w:type="dxa"/>
            <w:noWrap/>
            <w:hideMark/>
          </w:tcPr>
          <w:p w14:paraId="45ACB8E5" w14:textId="77777777" w:rsidR="00864624" w:rsidRDefault="00864624" w:rsidP="00832941">
            <w:pPr>
              <w:spacing w:before="100" w:beforeAutospacing="1" w:after="100" w:afterAutospacing="1"/>
              <w:jc w:val="right"/>
            </w:pPr>
            <w:r>
              <w:rPr>
                <w:rStyle w:val="Enfasigrassetto"/>
              </w:rPr>
              <w:t>2016</w:t>
            </w:r>
          </w:p>
        </w:tc>
        <w:tc>
          <w:tcPr>
            <w:tcW w:w="1034" w:type="dxa"/>
            <w:noWrap/>
            <w:hideMark/>
          </w:tcPr>
          <w:p w14:paraId="0E3DF09A" w14:textId="77777777" w:rsidR="00864624" w:rsidRDefault="00864624" w:rsidP="00832941">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t>1552</w:t>
            </w:r>
          </w:p>
        </w:tc>
        <w:tc>
          <w:tcPr>
            <w:tcW w:w="1740" w:type="dxa"/>
            <w:noWrap/>
            <w:hideMark/>
          </w:tcPr>
          <w:p w14:paraId="7943FB64" w14:textId="77777777" w:rsidR="00864624" w:rsidRDefault="00864624" w:rsidP="00832941">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t>768</w:t>
            </w:r>
          </w:p>
        </w:tc>
        <w:tc>
          <w:tcPr>
            <w:tcW w:w="960" w:type="dxa"/>
            <w:noWrap/>
            <w:hideMark/>
          </w:tcPr>
          <w:p w14:paraId="4010150D" w14:textId="77777777" w:rsidR="00864624" w:rsidRDefault="00864624" w:rsidP="00832941">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t>690</w:t>
            </w:r>
          </w:p>
        </w:tc>
        <w:tc>
          <w:tcPr>
            <w:tcW w:w="1259" w:type="dxa"/>
            <w:noWrap/>
            <w:hideMark/>
          </w:tcPr>
          <w:p w14:paraId="440478F3" w14:textId="77777777" w:rsidR="00864624" w:rsidRDefault="00864624" w:rsidP="00832941">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t>94</w:t>
            </w:r>
          </w:p>
        </w:tc>
      </w:tr>
      <w:tr w:rsidR="00864624" w14:paraId="3C0C1DE6" w14:textId="77777777" w:rsidTr="008329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6" w:type="dxa"/>
            <w:noWrap/>
            <w:hideMark/>
          </w:tcPr>
          <w:p w14:paraId="0A70C252" w14:textId="77777777" w:rsidR="00864624" w:rsidRDefault="00864624" w:rsidP="00832941">
            <w:pPr>
              <w:spacing w:before="100" w:beforeAutospacing="1" w:after="100" w:afterAutospacing="1"/>
              <w:jc w:val="right"/>
            </w:pPr>
            <w:r>
              <w:rPr>
                <w:rStyle w:val="Enfasigrassetto"/>
              </w:rPr>
              <w:t>2017</w:t>
            </w:r>
          </w:p>
        </w:tc>
        <w:tc>
          <w:tcPr>
            <w:tcW w:w="1034" w:type="dxa"/>
            <w:noWrap/>
            <w:hideMark/>
          </w:tcPr>
          <w:p w14:paraId="22DB7E4F" w14:textId="77777777" w:rsidR="00864624" w:rsidRDefault="00864624" w:rsidP="00832941">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t>1798</w:t>
            </w:r>
          </w:p>
        </w:tc>
        <w:tc>
          <w:tcPr>
            <w:tcW w:w="1740" w:type="dxa"/>
            <w:noWrap/>
            <w:hideMark/>
          </w:tcPr>
          <w:p w14:paraId="59897138" w14:textId="77777777" w:rsidR="00864624" w:rsidRDefault="00864624" w:rsidP="00832941">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t>905</w:t>
            </w:r>
          </w:p>
        </w:tc>
        <w:tc>
          <w:tcPr>
            <w:tcW w:w="960" w:type="dxa"/>
            <w:noWrap/>
            <w:hideMark/>
          </w:tcPr>
          <w:p w14:paraId="08C946FE" w14:textId="77777777" w:rsidR="00864624" w:rsidRDefault="00864624" w:rsidP="00832941">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t>733</w:t>
            </w:r>
          </w:p>
        </w:tc>
        <w:tc>
          <w:tcPr>
            <w:tcW w:w="1259" w:type="dxa"/>
            <w:noWrap/>
            <w:hideMark/>
          </w:tcPr>
          <w:p w14:paraId="2CB522FD" w14:textId="77777777" w:rsidR="00864624" w:rsidRDefault="00864624" w:rsidP="00832941">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t>160</w:t>
            </w:r>
          </w:p>
        </w:tc>
      </w:tr>
      <w:tr w:rsidR="00864624" w:rsidRPr="00841D3D" w14:paraId="4C17704E" w14:textId="77777777" w:rsidTr="00832941">
        <w:trPr>
          <w:trHeight w:val="300"/>
        </w:trPr>
        <w:tc>
          <w:tcPr>
            <w:cnfStyle w:val="001000000000" w:firstRow="0" w:lastRow="0" w:firstColumn="1" w:lastColumn="0" w:oddVBand="0" w:evenVBand="0" w:oddHBand="0" w:evenHBand="0" w:firstRowFirstColumn="0" w:firstRowLastColumn="0" w:lastRowFirstColumn="0" w:lastRowLastColumn="0"/>
            <w:tcW w:w="676" w:type="dxa"/>
            <w:noWrap/>
            <w:hideMark/>
          </w:tcPr>
          <w:p w14:paraId="37E3E02A" w14:textId="77777777" w:rsidR="00864624" w:rsidRPr="00841D3D" w:rsidRDefault="00864624" w:rsidP="00832941">
            <w:pPr>
              <w:spacing w:before="100" w:beforeAutospacing="1" w:after="100" w:afterAutospacing="1"/>
              <w:jc w:val="right"/>
            </w:pPr>
            <w:r w:rsidRPr="00841D3D">
              <w:rPr>
                <w:rStyle w:val="Enfasigrassetto"/>
              </w:rPr>
              <w:t>2018</w:t>
            </w:r>
          </w:p>
        </w:tc>
        <w:tc>
          <w:tcPr>
            <w:tcW w:w="1034" w:type="dxa"/>
            <w:noWrap/>
            <w:hideMark/>
          </w:tcPr>
          <w:p w14:paraId="3C1B7C68" w14:textId="77777777" w:rsidR="00864624" w:rsidRPr="00841D3D" w:rsidRDefault="00864624" w:rsidP="00832941">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sidRPr="00841D3D">
              <w:t>1918</w:t>
            </w:r>
          </w:p>
        </w:tc>
        <w:tc>
          <w:tcPr>
            <w:tcW w:w="1740" w:type="dxa"/>
            <w:noWrap/>
            <w:hideMark/>
          </w:tcPr>
          <w:p w14:paraId="058070C2" w14:textId="77777777" w:rsidR="00864624" w:rsidRPr="00841D3D" w:rsidRDefault="00864624" w:rsidP="00832941">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41D3D">
              <w:rPr>
                <w:rFonts w:eastAsia="Times New Roman"/>
              </w:rPr>
              <w:t>945</w:t>
            </w:r>
          </w:p>
        </w:tc>
        <w:tc>
          <w:tcPr>
            <w:tcW w:w="960" w:type="dxa"/>
            <w:noWrap/>
            <w:hideMark/>
          </w:tcPr>
          <w:p w14:paraId="2B728730" w14:textId="77777777" w:rsidR="00864624" w:rsidRPr="00841D3D" w:rsidRDefault="00864624" w:rsidP="00832941">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41D3D">
              <w:rPr>
                <w:rFonts w:eastAsia="Times New Roman"/>
              </w:rPr>
              <w:t>788</w:t>
            </w:r>
          </w:p>
        </w:tc>
        <w:tc>
          <w:tcPr>
            <w:tcW w:w="1259" w:type="dxa"/>
            <w:noWrap/>
            <w:hideMark/>
          </w:tcPr>
          <w:p w14:paraId="63B90591" w14:textId="77777777" w:rsidR="00864624" w:rsidRPr="00841D3D" w:rsidRDefault="00864624" w:rsidP="00832941">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41D3D">
              <w:rPr>
                <w:rFonts w:eastAsia="Times New Roman"/>
              </w:rPr>
              <w:t>185</w:t>
            </w:r>
          </w:p>
        </w:tc>
      </w:tr>
    </w:tbl>
    <w:p w14:paraId="78DD0395" w14:textId="77777777" w:rsidR="00864624" w:rsidRPr="0049712D" w:rsidRDefault="00864624" w:rsidP="00864624">
      <w:pPr>
        <w:spacing w:before="100" w:beforeAutospacing="1" w:after="0" w:line="240" w:lineRule="auto"/>
        <w:jc w:val="both"/>
        <w:rPr>
          <w:rFonts w:ascii="Times New Roman" w:hAnsi="Times New Roman" w:cs="Times New Roman"/>
          <w:sz w:val="24"/>
          <w:szCs w:val="24"/>
        </w:rPr>
      </w:pPr>
    </w:p>
    <w:p w14:paraId="46D8A00F" w14:textId="56100EE0" w:rsidR="00D04E54" w:rsidRPr="0049712D" w:rsidRDefault="00D04E54" w:rsidP="00CA461B">
      <w:pPr>
        <w:pStyle w:val="Paragrafoelenco"/>
        <w:numPr>
          <w:ilvl w:val="1"/>
          <w:numId w:val="11"/>
        </w:numPr>
        <w:spacing w:before="100" w:beforeAutospacing="1" w:after="0" w:line="240" w:lineRule="auto"/>
        <w:jc w:val="both"/>
        <w:rPr>
          <w:rFonts w:ascii="Times New Roman" w:hAnsi="Times New Roman" w:cs="Times New Roman"/>
          <w:b/>
          <w:sz w:val="24"/>
          <w:szCs w:val="24"/>
        </w:rPr>
      </w:pPr>
      <w:r w:rsidRPr="0049712D">
        <w:rPr>
          <w:rFonts w:ascii="Times New Roman" w:hAnsi="Times New Roman" w:cs="Times New Roman"/>
          <w:b/>
          <w:sz w:val="24"/>
          <w:szCs w:val="24"/>
          <w:u w:val="single"/>
        </w:rPr>
        <w:t>Aggiornamento Protocollo spese extra assegno</w:t>
      </w:r>
    </w:p>
    <w:p w14:paraId="0694373E" w14:textId="51F37ABD" w:rsidR="007034C5" w:rsidRPr="0049712D" w:rsidRDefault="007034C5" w:rsidP="00CA461B">
      <w:pPr>
        <w:spacing w:before="100" w:beforeAutospacing="1" w:after="0" w:line="240" w:lineRule="auto"/>
        <w:ind w:firstLine="360"/>
        <w:jc w:val="both"/>
        <w:rPr>
          <w:rFonts w:ascii="Times New Roman" w:hAnsi="Times New Roman" w:cs="Times New Roman"/>
          <w:sz w:val="24"/>
          <w:szCs w:val="24"/>
        </w:rPr>
      </w:pPr>
      <w:r w:rsidRPr="0049712D">
        <w:rPr>
          <w:rFonts w:ascii="Times New Roman" w:hAnsi="Times New Roman" w:cs="Times New Roman"/>
          <w:sz w:val="24"/>
          <w:szCs w:val="24"/>
        </w:rPr>
        <w:t>Fondamentale al fine di</w:t>
      </w:r>
      <w:r w:rsidR="00A440BD" w:rsidRPr="0049712D">
        <w:rPr>
          <w:rFonts w:ascii="Times New Roman" w:hAnsi="Times New Roman" w:cs="Times New Roman"/>
          <w:sz w:val="24"/>
          <w:szCs w:val="24"/>
        </w:rPr>
        <w:t xml:space="preserve"> prevenire il conflitto è la certezza del diritto, la prevedibilità delle decisioni e l’adozione di buone prassi e di linee guida</w:t>
      </w:r>
      <w:r w:rsidR="00D179E3" w:rsidRPr="0049712D">
        <w:rPr>
          <w:rFonts w:ascii="Times New Roman" w:hAnsi="Times New Roman" w:cs="Times New Roman"/>
          <w:sz w:val="24"/>
          <w:szCs w:val="24"/>
        </w:rPr>
        <w:t xml:space="preserve"> e per questo nelle precedenti Assemblee i </w:t>
      </w:r>
      <w:r w:rsidR="00D179E3" w:rsidRPr="0049712D">
        <w:rPr>
          <w:rFonts w:ascii="Times New Roman" w:hAnsi="Times New Roman" w:cs="Times New Roman"/>
          <w:sz w:val="24"/>
          <w:szCs w:val="24"/>
        </w:rPr>
        <w:lastRenderedPageBreak/>
        <w:t>gruppi</w:t>
      </w:r>
      <w:r w:rsidR="00D702D7" w:rsidRPr="0049712D">
        <w:rPr>
          <w:rFonts w:ascii="Times New Roman" w:hAnsi="Times New Roman" w:cs="Times New Roman"/>
          <w:sz w:val="24"/>
          <w:szCs w:val="24"/>
        </w:rPr>
        <w:t xml:space="preserve">-famiglia degli </w:t>
      </w:r>
      <w:r w:rsidR="00D179E3" w:rsidRPr="0049712D">
        <w:rPr>
          <w:rFonts w:ascii="Times New Roman" w:hAnsi="Times New Roman" w:cs="Times New Roman"/>
          <w:sz w:val="24"/>
          <w:szCs w:val="24"/>
        </w:rPr>
        <w:t xml:space="preserve">Osservatori </w:t>
      </w:r>
      <w:r w:rsidR="00D702D7" w:rsidRPr="0049712D">
        <w:rPr>
          <w:rFonts w:ascii="Times New Roman" w:hAnsi="Times New Roman" w:cs="Times New Roman"/>
          <w:sz w:val="24"/>
          <w:szCs w:val="24"/>
        </w:rPr>
        <w:t xml:space="preserve">hanno lavorato per l’adozione di linee guida nazionali sulle spese </w:t>
      </w:r>
      <w:r w:rsidR="00704BD3" w:rsidRPr="0049712D">
        <w:rPr>
          <w:rFonts w:ascii="Times New Roman" w:hAnsi="Times New Roman" w:cs="Times New Roman"/>
          <w:sz w:val="24"/>
          <w:szCs w:val="24"/>
        </w:rPr>
        <w:t>di mantenimento extra assegno</w:t>
      </w:r>
      <w:r w:rsidR="00CD5C83">
        <w:rPr>
          <w:rFonts w:ascii="Times New Roman" w:hAnsi="Times New Roman" w:cs="Times New Roman"/>
          <w:sz w:val="24"/>
          <w:szCs w:val="24"/>
        </w:rPr>
        <w:t xml:space="preserve"> per i figli minori.</w:t>
      </w:r>
    </w:p>
    <w:p w14:paraId="194E4D32" w14:textId="69F66427" w:rsidR="008D6072" w:rsidRDefault="00704BD3" w:rsidP="00CA461B">
      <w:pPr>
        <w:spacing w:before="100" w:beforeAutospacing="1" w:after="0" w:line="240" w:lineRule="auto"/>
        <w:ind w:firstLine="360"/>
        <w:jc w:val="both"/>
        <w:rPr>
          <w:rFonts w:ascii="Times New Roman" w:hAnsi="Times New Roman" w:cs="Times New Roman"/>
          <w:sz w:val="24"/>
          <w:szCs w:val="24"/>
        </w:rPr>
      </w:pPr>
      <w:r w:rsidRPr="0049712D">
        <w:rPr>
          <w:rFonts w:ascii="Times New Roman" w:hAnsi="Times New Roman" w:cs="Times New Roman"/>
          <w:sz w:val="24"/>
          <w:szCs w:val="24"/>
        </w:rPr>
        <w:t>Il gruppo</w:t>
      </w:r>
      <w:r w:rsidR="00366F57" w:rsidRPr="0049712D">
        <w:rPr>
          <w:rFonts w:ascii="Times New Roman" w:hAnsi="Times New Roman" w:cs="Times New Roman"/>
          <w:sz w:val="24"/>
          <w:szCs w:val="24"/>
        </w:rPr>
        <w:t xml:space="preserve"> Famiglia e ADR di Roma ha in corso di</w:t>
      </w:r>
      <w:r w:rsidR="00D04E54" w:rsidRPr="0049712D">
        <w:rPr>
          <w:rFonts w:ascii="Times New Roman" w:hAnsi="Times New Roman" w:cs="Times New Roman"/>
          <w:sz w:val="24"/>
          <w:szCs w:val="24"/>
        </w:rPr>
        <w:t xml:space="preserve"> elaborazione una proposta </w:t>
      </w:r>
      <w:r w:rsidR="005D1781" w:rsidRPr="00C96F33">
        <w:rPr>
          <w:rFonts w:ascii="Times New Roman" w:hAnsi="Times New Roman" w:cs="Times New Roman"/>
          <w:sz w:val="24"/>
          <w:szCs w:val="24"/>
          <w:u w:val="single"/>
        </w:rPr>
        <w:t>(si allega il testo della proposta)</w:t>
      </w:r>
      <w:r w:rsidR="005D1781">
        <w:rPr>
          <w:rFonts w:ascii="Times New Roman" w:hAnsi="Times New Roman" w:cs="Times New Roman"/>
          <w:sz w:val="24"/>
          <w:szCs w:val="24"/>
        </w:rPr>
        <w:t xml:space="preserve"> </w:t>
      </w:r>
      <w:r w:rsidR="00D04E54" w:rsidRPr="0049712D">
        <w:rPr>
          <w:rFonts w:ascii="Times New Roman" w:hAnsi="Times New Roman" w:cs="Times New Roman"/>
          <w:sz w:val="24"/>
          <w:szCs w:val="24"/>
        </w:rPr>
        <w:t>di aggiornamento del Protocollo sulle spese straordinarie in materia di mantenimento dei minori</w:t>
      </w:r>
      <w:r w:rsidR="00366F57" w:rsidRPr="0049712D">
        <w:rPr>
          <w:rFonts w:ascii="Times New Roman" w:hAnsi="Times New Roman" w:cs="Times New Roman"/>
          <w:sz w:val="24"/>
          <w:szCs w:val="24"/>
        </w:rPr>
        <w:t>,</w:t>
      </w:r>
      <w:r w:rsidR="00D04E54" w:rsidRPr="0049712D">
        <w:rPr>
          <w:rFonts w:ascii="Times New Roman" w:hAnsi="Times New Roman" w:cs="Times New Roman"/>
          <w:sz w:val="24"/>
          <w:szCs w:val="24"/>
        </w:rPr>
        <w:t xml:space="preserve"> già stipulato dal Tribunale di Roma con il Consiglio dell’Ordine degli Avvocati di Roma, ed ampiamente utilizzato dai giudici della prima sezione del Tribunale, allo scopo di aggiornarlo alla luce del lavoro svolto nel corso delle ultime due Assemblee nazionali degli Osservatori che ha portato all’elaborazione di Linee guida comuni. </w:t>
      </w:r>
    </w:p>
    <w:p w14:paraId="6130E7DA" w14:textId="3F14BAC7" w:rsidR="006C7339" w:rsidRPr="0049712D" w:rsidRDefault="00D04E54" w:rsidP="00CA461B">
      <w:pPr>
        <w:spacing w:before="100" w:beforeAutospacing="1" w:after="0" w:line="240" w:lineRule="auto"/>
        <w:ind w:firstLine="360"/>
        <w:jc w:val="both"/>
        <w:rPr>
          <w:rFonts w:ascii="Times New Roman" w:hAnsi="Times New Roman" w:cs="Times New Roman"/>
          <w:sz w:val="24"/>
          <w:szCs w:val="24"/>
        </w:rPr>
      </w:pPr>
      <w:r w:rsidRPr="0049712D">
        <w:rPr>
          <w:rFonts w:ascii="Times New Roman" w:hAnsi="Times New Roman" w:cs="Times New Roman"/>
          <w:sz w:val="24"/>
          <w:szCs w:val="24"/>
        </w:rPr>
        <w:t>Il nuovo Protocollo, a differenza del precedente, dovrebbe essere firmato, oltre che dal Presidente del Tribunale Roma e dal Presidente del Consiglio dell’Ordine degli Avvocati di Roma, anche dal coordinatore dell’Osservatorio sulla giustizia civile di Roma.</w:t>
      </w:r>
    </w:p>
    <w:p w14:paraId="72432FA1" w14:textId="1CFD7BFC" w:rsidR="00FA7674" w:rsidRDefault="002032B6" w:rsidP="00CA461B">
      <w:pPr>
        <w:pStyle w:val="Paragrafoelenco"/>
        <w:numPr>
          <w:ilvl w:val="0"/>
          <w:numId w:val="11"/>
        </w:numPr>
        <w:spacing w:before="100" w:beforeAutospacing="1"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PROPOSTE PER LA DISCUSSIONE </w:t>
      </w:r>
      <w:r w:rsidR="00CD5C83">
        <w:rPr>
          <w:rFonts w:ascii="Times New Roman" w:hAnsi="Times New Roman" w:cs="Times New Roman"/>
          <w:b/>
          <w:sz w:val="24"/>
          <w:szCs w:val="24"/>
          <w:u w:val="single"/>
        </w:rPr>
        <w:t>COMUNE IN ASSEMBLEA</w:t>
      </w:r>
    </w:p>
    <w:p w14:paraId="387F35B4" w14:textId="77777777" w:rsidR="003F3C49" w:rsidRPr="0049712D" w:rsidRDefault="003F3C49" w:rsidP="003F3C49">
      <w:pPr>
        <w:pStyle w:val="Paragrafoelenco"/>
        <w:spacing w:before="100" w:beforeAutospacing="1" w:after="0" w:line="240" w:lineRule="auto"/>
        <w:jc w:val="both"/>
        <w:rPr>
          <w:rFonts w:ascii="Times New Roman" w:hAnsi="Times New Roman" w:cs="Times New Roman"/>
          <w:b/>
          <w:sz w:val="24"/>
          <w:szCs w:val="24"/>
          <w:u w:val="single"/>
        </w:rPr>
      </w:pPr>
    </w:p>
    <w:p w14:paraId="14AE3C82" w14:textId="7F9E2D77" w:rsidR="00464532" w:rsidRPr="00CD5C83" w:rsidRDefault="00031BC7" w:rsidP="00CA461B">
      <w:pPr>
        <w:pStyle w:val="Paragrafoelenco"/>
        <w:numPr>
          <w:ilvl w:val="1"/>
          <w:numId w:val="11"/>
        </w:numPr>
        <w:spacing w:before="100" w:beforeAutospacing="1" w:after="0" w:line="240" w:lineRule="auto"/>
        <w:jc w:val="both"/>
        <w:rPr>
          <w:rFonts w:ascii="Times New Roman" w:hAnsi="Times New Roman" w:cs="Times New Roman"/>
          <w:b/>
          <w:sz w:val="24"/>
          <w:szCs w:val="24"/>
          <w:u w:val="single"/>
        </w:rPr>
      </w:pPr>
      <w:r w:rsidRPr="00CD5C83">
        <w:rPr>
          <w:rFonts w:ascii="Times New Roman" w:hAnsi="Times New Roman" w:cs="Times New Roman"/>
          <w:b/>
          <w:sz w:val="24"/>
          <w:szCs w:val="24"/>
          <w:u w:val="single"/>
        </w:rPr>
        <w:t>Buone prassi in materia di negoziazione assistita</w:t>
      </w:r>
    </w:p>
    <w:p w14:paraId="2D1473FF" w14:textId="732BD564" w:rsidR="00557425" w:rsidRPr="008E3E5C" w:rsidRDefault="00557425" w:rsidP="00557425">
      <w:pPr>
        <w:spacing w:before="100" w:beforeAutospacing="1" w:after="0" w:line="240" w:lineRule="auto"/>
        <w:ind w:firstLine="360"/>
        <w:jc w:val="both"/>
        <w:rPr>
          <w:rFonts w:ascii="Times New Roman" w:hAnsi="Times New Roman" w:cs="Times New Roman"/>
          <w:sz w:val="24"/>
          <w:szCs w:val="24"/>
        </w:rPr>
      </w:pPr>
      <w:r w:rsidRPr="008E3E5C">
        <w:rPr>
          <w:rFonts w:ascii="Times New Roman" w:hAnsi="Times New Roman" w:cs="Times New Roman"/>
          <w:sz w:val="24"/>
          <w:szCs w:val="24"/>
        </w:rPr>
        <w:t>Sarebbe opportuno avviare un monitoraggio sulle buone prassi in materia di negoziazione assistita -</w:t>
      </w:r>
      <w:r w:rsidR="008308D7">
        <w:rPr>
          <w:rFonts w:ascii="Times New Roman" w:hAnsi="Times New Roman" w:cs="Times New Roman"/>
          <w:sz w:val="24"/>
          <w:szCs w:val="24"/>
        </w:rPr>
        <w:t xml:space="preserve"> </w:t>
      </w:r>
      <w:r w:rsidRPr="008E3E5C">
        <w:rPr>
          <w:rFonts w:ascii="Times New Roman" w:hAnsi="Times New Roman" w:cs="Times New Roman"/>
          <w:sz w:val="24"/>
          <w:szCs w:val="24"/>
        </w:rPr>
        <w:t>anche attraverso la collaborazione con le diverse Procure della Repubblica presso i Tribunali civili</w:t>
      </w:r>
      <w:r w:rsidR="008308D7">
        <w:rPr>
          <w:rFonts w:ascii="Times New Roman" w:hAnsi="Times New Roman" w:cs="Times New Roman"/>
          <w:sz w:val="24"/>
          <w:szCs w:val="24"/>
        </w:rPr>
        <w:t xml:space="preserve"> </w:t>
      </w:r>
      <w:r w:rsidRPr="008E3E5C">
        <w:rPr>
          <w:rFonts w:ascii="Times New Roman" w:hAnsi="Times New Roman" w:cs="Times New Roman"/>
          <w:sz w:val="24"/>
          <w:szCs w:val="24"/>
        </w:rPr>
        <w:t>- per dare avvio al lavoro di confronto concreto sulle eventuali criticità che si presentano nella pratica quotidiana e per individuare modalità concrete per risolvere alcuni nodi critici.</w:t>
      </w:r>
    </w:p>
    <w:p w14:paraId="04B2C379" w14:textId="77777777" w:rsidR="00557425" w:rsidRPr="008E3E5C" w:rsidRDefault="00557425" w:rsidP="00557425">
      <w:pPr>
        <w:spacing w:before="100" w:beforeAutospacing="1" w:after="0" w:line="240" w:lineRule="auto"/>
        <w:ind w:firstLine="360"/>
        <w:jc w:val="both"/>
        <w:rPr>
          <w:rFonts w:ascii="Times New Roman" w:hAnsi="Times New Roman" w:cs="Times New Roman"/>
          <w:sz w:val="24"/>
          <w:szCs w:val="24"/>
        </w:rPr>
      </w:pPr>
      <w:r w:rsidRPr="008E3E5C">
        <w:rPr>
          <w:rFonts w:ascii="Times New Roman" w:hAnsi="Times New Roman" w:cs="Times New Roman"/>
          <w:sz w:val="24"/>
          <w:szCs w:val="24"/>
        </w:rPr>
        <w:t>Si segnalano per la discussione assembleare i seguenti punti:</w:t>
      </w:r>
    </w:p>
    <w:p w14:paraId="5901B785" w14:textId="2C8DDFC9" w:rsidR="00557425" w:rsidRPr="008E3E5C" w:rsidRDefault="00557425" w:rsidP="00557425">
      <w:pPr>
        <w:pStyle w:val="Paragrafoelenco"/>
        <w:numPr>
          <w:ilvl w:val="0"/>
          <w:numId w:val="21"/>
        </w:numPr>
        <w:spacing w:before="100" w:beforeAutospacing="1" w:after="0" w:line="240" w:lineRule="auto"/>
        <w:jc w:val="both"/>
        <w:rPr>
          <w:rFonts w:ascii="Times New Roman" w:hAnsi="Times New Roman" w:cs="Times New Roman"/>
          <w:sz w:val="24"/>
          <w:szCs w:val="24"/>
        </w:rPr>
      </w:pPr>
      <w:r w:rsidRPr="008E3E5C">
        <w:rPr>
          <w:rFonts w:ascii="Times New Roman" w:hAnsi="Times New Roman" w:cs="Times New Roman"/>
          <w:b/>
          <w:bCs/>
          <w:sz w:val="24"/>
          <w:szCs w:val="24"/>
        </w:rPr>
        <w:t>Autorizzazione/visto del PM</w:t>
      </w:r>
      <w:r w:rsidR="009D6793">
        <w:rPr>
          <w:rFonts w:ascii="Times New Roman" w:hAnsi="Times New Roman" w:cs="Times New Roman"/>
          <w:b/>
          <w:bCs/>
          <w:sz w:val="24"/>
          <w:szCs w:val="24"/>
        </w:rPr>
        <w:t xml:space="preserve"> e tempi della procedura</w:t>
      </w:r>
    </w:p>
    <w:p w14:paraId="61D22E09" w14:textId="77777777" w:rsidR="006159B1" w:rsidRDefault="00557425" w:rsidP="00557425">
      <w:pPr>
        <w:pStyle w:val="Paragrafoelenco"/>
        <w:spacing w:before="100" w:beforeAutospacing="1" w:after="0" w:line="240" w:lineRule="auto"/>
        <w:jc w:val="both"/>
        <w:rPr>
          <w:rFonts w:ascii="Times New Roman" w:hAnsi="Times New Roman" w:cs="Times New Roman"/>
          <w:sz w:val="24"/>
          <w:szCs w:val="24"/>
        </w:rPr>
      </w:pPr>
      <w:r w:rsidRPr="008E3E5C">
        <w:rPr>
          <w:rFonts w:ascii="Times New Roman" w:hAnsi="Times New Roman" w:cs="Times New Roman"/>
          <w:sz w:val="24"/>
          <w:szCs w:val="24"/>
        </w:rPr>
        <w:t xml:space="preserve">La mancata previsione di un termine entro il quale debba essere emesso il nulla osta/autorizzazione può creare prassi difformi nei diversi Tribunali (a Roma </w:t>
      </w:r>
      <w:r w:rsidR="00C96F33">
        <w:rPr>
          <w:rFonts w:ascii="Times New Roman" w:hAnsi="Times New Roman" w:cs="Times New Roman"/>
          <w:sz w:val="24"/>
          <w:szCs w:val="24"/>
        </w:rPr>
        <w:t>la Procura è estremamente rapida e</w:t>
      </w:r>
      <w:r w:rsidR="000553DA">
        <w:rPr>
          <w:rFonts w:ascii="Times New Roman" w:hAnsi="Times New Roman" w:cs="Times New Roman"/>
          <w:sz w:val="24"/>
          <w:szCs w:val="24"/>
        </w:rPr>
        <w:t xml:space="preserve"> </w:t>
      </w:r>
      <w:r w:rsidRPr="008E3E5C">
        <w:rPr>
          <w:rFonts w:ascii="Times New Roman" w:hAnsi="Times New Roman" w:cs="Times New Roman"/>
          <w:sz w:val="24"/>
          <w:szCs w:val="24"/>
        </w:rPr>
        <w:t xml:space="preserve">gli atti vengono restituiti dalla Procura ai difensori entro un tempo massimo di </w:t>
      </w:r>
      <w:r w:rsidR="00A01363" w:rsidRPr="00393F4A">
        <w:rPr>
          <w:rFonts w:ascii="Times New Roman" w:hAnsi="Times New Roman" w:cs="Times New Roman"/>
          <w:sz w:val="24"/>
          <w:szCs w:val="24"/>
        </w:rPr>
        <w:t>quattro</w:t>
      </w:r>
      <w:r w:rsidRPr="00393F4A">
        <w:rPr>
          <w:rFonts w:ascii="Times New Roman" w:hAnsi="Times New Roman" w:cs="Times New Roman"/>
          <w:sz w:val="24"/>
          <w:szCs w:val="24"/>
        </w:rPr>
        <w:t xml:space="preserve"> giorni</w:t>
      </w:r>
      <w:r w:rsidR="00A01363" w:rsidRPr="00393F4A">
        <w:rPr>
          <w:rFonts w:ascii="Times New Roman" w:hAnsi="Times New Roman" w:cs="Times New Roman"/>
          <w:sz w:val="24"/>
          <w:szCs w:val="24"/>
        </w:rPr>
        <w:t xml:space="preserve"> lavorativi</w:t>
      </w:r>
      <w:r w:rsidRPr="00393F4A">
        <w:rPr>
          <w:rFonts w:ascii="Times New Roman" w:hAnsi="Times New Roman" w:cs="Times New Roman"/>
          <w:sz w:val="24"/>
          <w:szCs w:val="24"/>
        </w:rPr>
        <w:t>).</w:t>
      </w:r>
      <w:r w:rsidR="00A01363">
        <w:rPr>
          <w:rFonts w:ascii="Times New Roman" w:hAnsi="Times New Roman" w:cs="Times New Roman"/>
          <w:sz w:val="24"/>
          <w:szCs w:val="24"/>
        </w:rPr>
        <w:t xml:space="preserve"> </w:t>
      </w:r>
    </w:p>
    <w:p w14:paraId="06F91AD9" w14:textId="1DA25C66" w:rsidR="00557425" w:rsidRDefault="00557425" w:rsidP="00557425">
      <w:pPr>
        <w:pStyle w:val="Paragrafoelenco"/>
        <w:spacing w:before="100" w:beforeAutospacing="1" w:after="0" w:line="240" w:lineRule="auto"/>
        <w:jc w:val="both"/>
        <w:rPr>
          <w:rFonts w:ascii="Times New Roman" w:hAnsi="Times New Roman" w:cs="Times New Roman"/>
          <w:sz w:val="24"/>
          <w:szCs w:val="24"/>
        </w:rPr>
      </w:pPr>
      <w:r w:rsidRPr="008E3E5C">
        <w:rPr>
          <w:rFonts w:ascii="Times New Roman" w:hAnsi="Times New Roman" w:cs="Times New Roman"/>
          <w:sz w:val="24"/>
          <w:szCs w:val="24"/>
        </w:rPr>
        <w:t xml:space="preserve">L’eventuale parere negativo del PM e la convocazione </w:t>
      </w:r>
      <w:r w:rsidR="008B53E8">
        <w:rPr>
          <w:rFonts w:ascii="Times New Roman" w:hAnsi="Times New Roman" w:cs="Times New Roman"/>
          <w:sz w:val="24"/>
          <w:szCs w:val="24"/>
        </w:rPr>
        <w:t xml:space="preserve">delle </w:t>
      </w:r>
      <w:r w:rsidRPr="008E3E5C">
        <w:rPr>
          <w:rFonts w:ascii="Times New Roman" w:hAnsi="Times New Roman" w:cs="Times New Roman"/>
          <w:sz w:val="24"/>
          <w:szCs w:val="24"/>
        </w:rPr>
        <w:t>parti innanzi al Presidente comporta una incertezza</w:t>
      </w:r>
      <w:r w:rsidR="005F2234">
        <w:rPr>
          <w:rFonts w:ascii="Times New Roman" w:hAnsi="Times New Roman" w:cs="Times New Roman"/>
          <w:sz w:val="24"/>
          <w:szCs w:val="24"/>
        </w:rPr>
        <w:t xml:space="preserve"> </w:t>
      </w:r>
      <w:r w:rsidRPr="008E3E5C">
        <w:rPr>
          <w:rFonts w:ascii="Times New Roman" w:hAnsi="Times New Roman" w:cs="Times New Roman"/>
          <w:sz w:val="24"/>
          <w:szCs w:val="24"/>
        </w:rPr>
        <w:t>sui tempi di definizione della procedura</w:t>
      </w:r>
      <w:r w:rsidR="00082BE8">
        <w:rPr>
          <w:rFonts w:ascii="Times New Roman" w:hAnsi="Times New Roman" w:cs="Times New Roman"/>
          <w:sz w:val="24"/>
          <w:szCs w:val="24"/>
        </w:rPr>
        <w:t>,</w:t>
      </w:r>
      <w:r w:rsidRPr="008E3E5C">
        <w:rPr>
          <w:rFonts w:ascii="Times New Roman" w:hAnsi="Times New Roman" w:cs="Times New Roman"/>
          <w:sz w:val="24"/>
          <w:szCs w:val="24"/>
        </w:rPr>
        <w:t xml:space="preserve"> con conseguenze pregiudizievoli in caso di divorzio e nuove nozze o imminente nascita di figlio da nuova relazione.</w:t>
      </w:r>
    </w:p>
    <w:p w14:paraId="36B46914" w14:textId="089C4106" w:rsidR="008B53E8" w:rsidRPr="008B53E8" w:rsidRDefault="008B53E8" w:rsidP="008B53E8">
      <w:pPr>
        <w:pStyle w:val="Paragrafoelenco"/>
        <w:spacing w:before="100" w:beforeAutospacing="1" w:after="0" w:line="240" w:lineRule="auto"/>
        <w:jc w:val="both"/>
        <w:rPr>
          <w:rFonts w:ascii="Times New Roman" w:hAnsi="Times New Roman" w:cs="Times New Roman"/>
          <w:sz w:val="24"/>
          <w:szCs w:val="24"/>
        </w:rPr>
      </w:pPr>
      <w:r w:rsidRPr="008E3E5C">
        <w:rPr>
          <w:rFonts w:ascii="Times New Roman" w:hAnsi="Times New Roman" w:cs="Times New Roman"/>
          <w:sz w:val="24"/>
          <w:szCs w:val="24"/>
        </w:rPr>
        <w:t>Quando le parti vengono inviate innanzi al Presidente del Tribunale per la rettifica dell’accordo non avallato dalla Procura e viene raggiunto un nuovo accordo direttamente dinanzi il Presidente del Tribunale, tale nuovo accordo va sottoposto alla Procura per ottenere il nulla osta ovvero l’autorizzazione.</w:t>
      </w:r>
      <w:r>
        <w:rPr>
          <w:rFonts w:ascii="Times New Roman" w:hAnsi="Times New Roman" w:cs="Times New Roman"/>
          <w:sz w:val="24"/>
          <w:szCs w:val="24"/>
        </w:rPr>
        <w:t xml:space="preserve"> </w:t>
      </w:r>
    </w:p>
    <w:p w14:paraId="1D87AFC8" w14:textId="69D6822E" w:rsidR="00557425" w:rsidRPr="00393F4A" w:rsidRDefault="00557425" w:rsidP="00557425">
      <w:pPr>
        <w:pStyle w:val="Paragrafoelenco"/>
        <w:numPr>
          <w:ilvl w:val="0"/>
          <w:numId w:val="21"/>
        </w:numPr>
        <w:spacing w:before="100" w:beforeAutospacing="1" w:after="0" w:line="240" w:lineRule="auto"/>
        <w:jc w:val="both"/>
        <w:rPr>
          <w:rFonts w:ascii="Times New Roman" w:hAnsi="Times New Roman" w:cs="Times New Roman"/>
          <w:b/>
          <w:sz w:val="24"/>
          <w:szCs w:val="24"/>
        </w:rPr>
      </w:pPr>
      <w:r w:rsidRPr="00393F4A">
        <w:rPr>
          <w:rFonts w:ascii="Times New Roman" w:hAnsi="Times New Roman" w:cs="Times New Roman"/>
          <w:b/>
          <w:sz w:val="24"/>
          <w:szCs w:val="24"/>
        </w:rPr>
        <w:t>Modifiche</w:t>
      </w:r>
      <w:r w:rsidR="00FC56A9" w:rsidRPr="00393F4A">
        <w:rPr>
          <w:rFonts w:ascii="Times New Roman" w:hAnsi="Times New Roman" w:cs="Times New Roman"/>
          <w:b/>
          <w:sz w:val="24"/>
          <w:szCs w:val="24"/>
        </w:rPr>
        <w:t xml:space="preserve">/adattamenti </w:t>
      </w:r>
      <w:r w:rsidRPr="00393F4A">
        <w:rPr>
          <w:rFonts w:ascii="Times New Roman" w:hAnsi="Times New Roman" w:cs="Times New Roman"/>
          <w:b/>
          <w:sz w:val="24"/>
          <w:szCs w:val="24"/>
        </w:rPr>
        <w:t xml:space="preserve"> dell’accordo</w:t>
      </w:r>
      <w:r w:rsidR="005F2234" w:rsidRPr="00393F4A">
        <w:rPr>
          <w:rFonts w:ascii="Times New Roman" w:hAnsi="Times New Roman" w:cs="Times New Roman"/>
          <w:b/>
          <w:sz w:val="24"/>
          <w:szCs w:val="24"/>
        </w:rPr>
        <w:t xml:space="preserve"> su </w:t>
      </w:r>
      <w:r w:rsidR="00AD3B8E" w:rsidRPr="00393F4A">
        <w:rPr>
          <w:rFonts w:ascii="Times New Roman" w:hAnsi="Times New Roman" w:cs="Times New Roman"/>
          <w:b/>
          <w:sz w:val="24"/>
          <w:szCs w:val="24"/>
        </w:rPr>
        <w:t>segnalazione</w:t>
      </w:r>
      <w:r w:rsidR="005F2234" w:rsidRPr="00393F4A">
        <w:rPr>
          <w:rFonts w:ascii="Times New Roman" w:hAnsi="Times New Roman" w:cs="Times New Roman"/>
          <w:b/>
          <w:sz w:val="24"/>
          <w:szCs w:val="24"/>
        </w:rPr>
        <w:t xml:space="preserve"> del PM </w:t>
      </w:r>
    </w:p>
    <w:p w14:paraId="796F40ED" w14:textId="654D03F0" w:rsidR="00557425" w:rsidRPr="008E3E5C" w:rsidRDefault="00557425" w:rsidP="00557425">
      <w:pPr>
        <w:pStyle w:val="Paragrafoelenco"/>
        <w:spacing w:before="100" w:beforeAutospacing="1" w:after="0" w:line="240" w:lineRule="auto"/>
        <w:jc w:val="both"/>
        <w:rPr>
          <w:rFonts w:ascii="Times New Roman" w:hAnsi="Times New Roman" w:cs="Times New Roman"/>
          <w:sz w:val="24"/>
          <w:szCs w:val="24"/>
        </w:rPr>
      </w:pPr>
      <w:r w:rsidRPr="00393F4A">
        <w:rPr>
          <w:rFonts w:ascii="Times New Roman" w:hAnsi="Times New Roman" w:cs="Times New Roman"/>
          <w:sz w:val="24"/>
          <w:szCs w:val="24"/>
        </w:rPr>
        <w:t xml:space="preserve">La prassi di alcune Procure (come quella di Roma) di </w:t>
      </w:r>
      <w:r w:rsidR="005F2234" w:rsidRPr="00393F4A">
        <w:rPr>
          <w:rFonts w:ascii="Times New Roman" w:hAnsi="Times New Roman" w:cs="Times New Roman"/>
          <w:sz w:val="24"/>
          <w:szCs w:val="24"/>
        </w:rPr>
        <w:t xml:space="preserve">indicare alle parti degli adattamenti </w:t>
      </w:r>
      <w:r w:rsidR="00FC56A9" w:rsidRPr="00393F4A">
        <w:rPr>
          <w:rFonts w:ascii="Times New Roman" w:hAnsi="Times New Roman" w:cs="Times New Roman"/>
          <w:sz w:val="24"/>
          <w:szCs w:val="24"/>
        </w:rPr>
        <w:t>da apportare a talune statuizioni contenute n</w:t>
      </w:r>
      <w:r w:rsidR="005F2234" w:rsidRPr="00393F4A">
        <w:rPr>
          <w:rFonts w:ascii="Times New Roman" w:hAnsi="Times New Roman" w:cs="Times New Roman"/>
          <w:sz w:val="24"/>
          <w:szCs w:val="24"/>
        </w:rPr>
        <w:t>e</w:t>
      </w:r>
      <w:r w:rsidRPr="00393F4A">
        <w:rPr>
          <w:rFonts w:ascii="Times New Roman" w:hAnsi="Times New Roman" w:cs="Times New Roman"/>
          <w:sz w:val="24"/>
          <w:szCs w:val="24"/>
        </w:rPr>
        <w:t xml:space="preserve">ll’accordo che evitino il </w:t>
      </w:r>
      <w:r w:rsidR="00FC56A9" w:rsidRPr="00393F4A">
        <w:rPr>
          <w:rFonts w:ascii="Times New Roman" w:hAnsi="Times New Roman" w:cs="Times New Roman"/>
          <w:sz w:val="24"/>
          <w:szCs w:val="24"/>
        </w:rPr>
        <w:t xml:space="preserve">diniego </w:t>
      </w:r>
      <w:r w:rsidRPr="00393F4A">
        <w:rPr>
          <w:rFonts w:ascii="Times New Roman" w:hAnsi="Times New Roman" w:cs="Times New Roman"/>
          <w:sz w:val="24"/>
          <w:szCs w:val="24"/>
        </w:rPr>
        <w:t xml:space="preserve"> dell’autorizzazione/</w:t>
      </w:r>
      <w:r w:rsidR="00FC56A9" w:rsidRPr="00393F4A">
        <w:rPr>
          <w:rFonts w:ascii="Times New Roman" w:hAnsi="Times New Roman" w:cs="Times New Roman"/>
          <w:sz w:val="24"/>
          <w:szCs w:val="24"/>
        </w:rPr>
        <w:t xml:space="preserve">nulla osta con il conseguente procedimento di invio al Presidente del Tribunale, </w:t>
      </w:r>
      <w:r w:rsidRPr="00393F4A">
        <w:rPr>
          <w:rFonts w:ascii="Times New Roman" w:hAnsi="Times New Roman" w:cs="Times New Roman"/>
          <w:sz w:val="24"/>
          <w:szCs w:val="24"/>
        </w:rPr>
        <w:t xml:space="preserve"> evita un aggravio della procedura </w:t>
      </w:r>
      <w:r w:rsidR="00AD3B8E" w:rsidRPr="00393F4A">
        <w:rPr>
          <w:rFonts w:ascii="Times New Roman" w:hAnsi="Times New Roman" w:cs="Times New Roman"/>
          <w:sz w:val="24"/>
          <w:szCs w:val="24"/>
        </w:rPr>
        <w:t xml:space="preserve">, una significativa perdita di tempo </w:t>
      </w:r>
      <w:r w:rsidRPr="00393F4A">
        <w:rPr>
          <w:rFonts w:ascii="Times New Roman" w:hAnsi="Times New Roman" w:cs="Times New Roman"/>
          <w:sz w:val="24"/>
          <w:szCs w:val="24"/>
        </w:rPr>
        <w:t>ed è un positivo segno di cooperazione tra i soggetti chiamati ad applicare queste norme.</w:t>
      </w:r>
    </w:p>
    <w:p w14:paraId="0EDF4BE0" w14:textId="0AB1CD45" w:rsidR="00557425" w:rsidRPr="008E3E5C" w:rsidRDefault="009706D0" w:rsidP="00557425">
      <w:pPr>
        <w:pStyle w:val="Paragrafoelenco"/>
        <w:numPr>
          <w:ilvl w:val="0"/>
          <w:numId w:val="21"/>
        </w:numPr>
        <w:spacing w:before="100" w:beforeAutospacing="1" w:after="0" w:line="240" w:lineRule="auto"/>
        <w:jc w:val="both"/>
        <w:rPr>
          <w:rFonts w:ascii="Times New Roman" w:hAnsi="Times New Roman" w:cs="Times New Roman"/>
          <w:sz w:val="24"/>
          <w:szCs w:val="24"/>
        </w:rPr>
      </w:pPr>
      <w:r>
        <w:rPr>
          <w:rFonts w:ascii="Times New Roman" w:hAnsi="Times New Roman" w:cs="Times New Roman"/>
          <w:b/>
          <w:bCs/>
          <w:sz w:val="24"/>
          <w:szCs w:val="24"/>
        </w:rPr>
        <w:t>Produzioni documentali e</w:t>
      </w:r>
      <w:r w:rsidR="00557425" w:rsidRPr="008E3E5C">
        <w:rPr>
          <w:rFonts w:ascii="Times New Roman" w:hAnsi="Times New Roman" w:cs="Times New Roman"/>
          <w:b/>
          <w:bCs/>
          <w:sz w:val="24"/>
          <w:szCs w:val="24"/>
        </w:rPr>
        <w:t xml:space="preserve"> riservatezza</w:t>
      </w:r>
    </w:p>
    <w:p w14:paraId="1F24E645" w14:textId="0F3F32E0" w:rsidR="003A1825" w:rsidRPr="00D1331D" w:rsidRDefault="003A1825" w:rsidP="00557425">
      <w:pPr>
        <w:pStyle w:val="Paragrafoelenco"/>
        <w:spacing w:before="100" w:beforeAutospacing="1" w:after="0" w:line="240" w:lineRule="auto"/>
        <w:jc w:val="both"/>
        <w:rPr>
          <w:rFonts w:ascii="Times New Roman" w:hAnsi="Times New Roman" w:cs="Times New Roman"/>
          <w:i/>
          <w:sz w:val="24"/>
          <w:szCs w:val="24"/>
          <w:highlight w:val="yellow"/>
        </w:rPr>
      </w:pPr>
      <w:r>
        <w:rPr>
          <w:rFonts w:ascii="Times New Roman" w:hAnsi="Times New Roman" w:cs="Times New Roman"/>
          <w:bCs/>
          <w:sz w:val="24"/>
          <w:szCs w:val="24"/>
        </w:rPr>
        <w:t xml:space="preserve">Le prassi </w:t>
      </w:r>
      <w:r w:rsidR="00CD2DBA">
        <w:rPr>
          <w:rFonts w:ascii="Times New Roman" w:hAnsi="Times New Roman" w:cs="Times New Roman"/>
          <w:bCs/>
          <w:sz w:val="24"/>
          <w:szCs w:val="24"/>
        </w:rPr>
        <w:t xml:space="preserve">di prevedere </w:t>
      </w:r>
      <w:r w:rsidR="00057689">
        <w:rPr>
          <w:rFonts w:ascii="Times New Roman" w:hAnsi="Times New Roman" w:cs="Times New Roman"/>
          <w:bCs/>
          <w:sz w:val="24"/>
          <w:szCs w:val="24"/>
        </w:rPr>
        <w:t xml:space="preserve">come obbligatorio </w:t>
      </w:r>
      <w:r w:rsidR="00CD2DBA">
        <w:rPr>
          <w:rFonts w:ascii="Times New Roman" w:hAnsi="Times New Roman" w:cs="Times New Roman"/>
          <w:bCs/>
          <w:sz w:val="24"/>
          <w:szCs w:val="24"/>
        </w:rPr>
        <w:t>il</w:t>
      </w:r>
      <w:r>
        <w:rPr>
          <w:rFonts w:ascii="Times New Roman" w:hAnsi="Times New Roman" w:cs="Times New Roman"/>
          <w:bCs/>
          <w:sz w:val="24"/>
          <w:szCs w:val="24"/>
        </w:rPr>
        <w:t xml:space="preserve"> deposito delle denunce dei redditi degli ultimi tre anni di ciascuna delle parti </w:t>
      </w:r>
      <w:r w:rsidR="00CD2DBA">
        <w:rPr>
          <w:rFonts w:ascii="Times New Roman" w:hAnsi="Times New Roman" w:cs="Times New Roman"/>
          <w:bCs/>
          <w:sz w:val="24"/>
          <w:szCs w:val="24"/>
        </w:rPr>
        <w:t xml:space="preserve">è in uso </w:t>
      </w:r>
      <w:r w:rsidR="00083FBB">
        <w:rPr>
          <w:rFonts w:ascii="Times New Roman" w:hAnsi="Times New Roman" w:cs="Times New Roman"/>
          <w:bCs/>
          <w:sz w:val="24"/>
          <w:szCs w:val="24"/>
        </w:rPr>
        <w:t>non in tutti i Tribunali</w:t>
      </w:r>
      <w:r w:rsidR="00F54504">
        <w:rPr>
          <w:rFonts w:ascii="Times New Roman" w:hAnsi="Times New Roman" w:cs="Times New Roman"/>
          <w:bCs/>
          <w:sz w:val="24"/>
          <w:szCs w:val="24"/>
        </w:rPr>
        <w:t>.</w:t>
      </w:r>
      <w:r w:rsidR="00D1331D" w:rsidRPr="00D1331D">
        <w:rPr>
          <w:rFonts w:ascii="Times New Roman" w:hAnsi="Times New Roman" w:cs="Times New Roman"/>
          <w:i/>
          <w:sz w:val="24"/>
          <w:szCs w:val="24"/>
          <w:highlight w:val="yellow"/>
        </w:rPr>
        <w:t xml:space="preserve"> </w:t>
      </w:r>
    </w:p>
    <w:p w14:paraId="276E8C18" w14:textId="068F7F0A" w:rsidR="00557425" w:rsidRPr="008E3E5C" w:rsidRDefault="00057689" w:rsidP="00557425">
      <w:pPr>
        <w:pStyle w:val="Paragrafoelenco"/>
        <w:spacing w:before="100" w:beforeAutospacing="1" w:after="0" w:line="240" w:lineRule="auto"/>
        <w:jc w:val="both"/>
        <w:rPr>
          <w:rFonts w:ascii="Times New Roman" w:hAnsi="Times New Roman" w:cs="Times New Roman"/>
          <w:sz w:val="24"/>
          <w:szCs w:val="24"/>
        </w:rPr>
      </w:pPr>
      <w:r w:rsidRPr="00FE7D1F">
        <w:rPr>
          <w:rFonts w:ascii="Times New Roman" w:hAnsi="Times New Roman" w:cs="Times New Roman"/>
          <w:bCs/>
          <w:sz w:val="24"/>
          <w:szCs w:val="24"/>
        </w:rPr>
        <w:t xml:space="preserve">Ci si interroga sulla possibilità </w:t>
      </w:r>
      <w:r w:rsidR="000235B5" w:rsidRPr="00FE7D1F">
        <w:rPr>
          <w:rFonts w:ascii="Times New Roman" w:hAnsi="Times New Roman" w:cs="Times New Roman"/>
          <w:bCs/>
          <w:sz w:val="24"/>
          <w:szCs w:val="24"/>
        </w:rPr>
        <w:t>di inserire una clausola</w:t>
      </w:r>
      <w:r w:rsidR="00D63908" w:rsidRPr="00FE7D1F">
        <w:rPr>
          <w:rFonts w:ascii="Times New Roman" w:hAnsi="Times New Roman" w:cs="Times New Roman"/>
          <w:bCs/>
          <w:sz w:val="24"/>
          <w:szCs w:val="24"/>
        </w:rPr>
        <w:t xml:space="preserve"> – ovviamente facoltativa- </w:t>
      </w:r>
      <w:r w:rsidR="000235B5" w:rsidRPr="00FE7D1F">
        <w:rPr>
          <w:rFonts w:ascii="Times New Roman" w:hAnsi="Times New Roman" w:cs="Times New Roman"/>
          <w:bCs/>
          <w:sz w:val="24"/>
          <w:szCs w:val="24"/>
        </w:rPr>
        <w:t xml:space="preserve"> </w:t>
      </w:r>
      <w:r w:rsidR="000235B5" w:rsidRPr="00FE7D1F">
        <w:rPr>
          <w:rFonts w:ascii="Times New Roman" w:hAnsi="Times New Roman" w:cs="Times New Roman"/>
          <w:sz w:val="24"/>
          <w:szCs w:val="24"/>
        </w:rPr>
        <w:t xml:space="preserve">di </w:t>
      </w:r>
      <w:r w:rsidR="00CF5397" w:rsidRPr="00FE7D1F">
        <w:rPr>
          <w:rFonts w:ascii="Times New Roman" w:hAnsi="Times New Roman" w:cs="Times New Roman"/>
          <w:sz w:val="24"/>
          <w:szCs w:val="24"/>
        </w:rPr>
        <w:t xml:space="preserve">esonero dalla </w:t>
      </w:r>
      <w:r w:rsidR="000235B5" w:rsidRPr="00FE7D1F">
        <w:rPr>
          <w:rFonts w:ascii="Times New Roman" w:hAnsi="Times New Roman" w:cs="Times New Roman"/>
          <w:sz w:val="24"/>
          <w:szCs w:val="24"/>
        </w:rPr>
        <w:t>riservatezza</w:t>
      </w:r>
      <w:r w:rsidR="000413C0" w:rsidRPr="00FE7D1F">
        <w:rPr>
          <w:rFonts w:ascii="Times New Roman" w:hAnsi="Times New Roman" w:cs="Times New Roman"/>
          <w:sz w:val="24"/>
          <w:szCs w:val="24"/>
        </w:rPr>
        <w:t xml:space="preserve"> relativa a</w:t>
      </w:r>
      <w:r w:rsidR="00CF5397" w:rsidRPr="00FE7D1F">
        <w:rPr>
          <w:rFonts w:ascii="Times New Roman" w:hAnsi="Times New Roman" w:cs="Times New Roman"/>
          <w:sz w:val="24"/>
          <w:szCs w:val="24"/>
        </w:rPr>
        <w:t xml:space="preserve"> que</w:t>
      </w:r>
      <w:r w:rsidR="000413C0" w:rsidRPr="00FE7D1F">
        <w:rPr>
          <w:rFonts w:ascii="Times New Roman" w:hAnsi="Times New Roman" w:cs="Times New Roman"/>
          <w:sz w:val="24"/>
          <w:szCs w:val="24"/>
        </w:rPr>
        <w:t xml:space="preserve">lla </w:t>
      </w:r>
      <w:r w:rsidR="00557425" w:rsidRPr="00FE7D1F">
        <w:rPr>
          <w:rFonts w:ascii="Times New Roman" w:hAnsi="Times New Roman" w:cs="Times New Roman"/>
          <w:sz w:val="24"/>
          <w:szCs w:val="24"/>
        </w:rPr>
        <w:t xml:space="preserve">documentazione </w:t>
      </w:r>
      <w:r w:rsidR="000413C0" w:rsidRPr="00FE7D1F">
        <w:rPr>
          <w:rFonts w:ascii="Times New Roman" w:hAnsi="Times New Roman" w:cs="Times New Roman"/>
          <w:sz w:val="24"/>
          <w:szCs w:val="24"/>
        </w:rPr>
        <w:t>riguardante</w:t>
      </w:r>
      <w:r w:rsidR="00557425" w:rsidRPr="00FE7D1F">
        <w:rPr>
          <w:rFonts w:ascii="Times New Roman" w:hAnsi="Times New Roman" w:cs="Times New Roman"/>
          <w:sz w:val="24"/>
          <w:szCs w:val="24"/>
        </w:rPr>
        <w:t xml:space="preserve"> la situa</w:t>
      </w:r>
      <w:r w:rsidR="005D05F7" w:rsidRPr="00FE7D1F">
        <w:rPr>
          <w:rFonts w:ascii="Times New Roman" w:hAnsi="Times New Roman" w:cs="Times New Roman"/>
          <w:sz w:val="24"/>
          <w:szCs w:val="24"/>
        </w:rPr>
        <w:t xml:space="preserve">zione reddituale e </w:t>
      </w:r>
      <w:r w:rsidR="005D05F7" w:rsidRPr="00FE7D1F">
        <w:rPr>
          <w:rFonts w:ascii="Times New Roman" w:hAnsi="Times New Roman" w:cs="Times New Roman"/>
          <w:sz w:val="24"/>
          <w:szCs w:val="24"/>
        </w:rPr>
        <w:lastRenderedPageBreak/>
        <w:t xml:space="preserve">patrimoniale che, in caso di contenzioso, </w:t>
      </w:r>
      <w:r w:rsidR="00CF5397" w:rsidRPr="00FE7D1F">
        <w:rPr>
          <w:rFonts w:ascii="Times New Roman" w:hAnsi="Times New Roman" w:cs="Times New Roman"/>
          <w:sz w:val="24"/>
          <w:szCs w:val="24"/>
        </w:rPr>
        <w:t xml:space="preserve">sarebbe comunque obbligatorio inserire nell’autocertificazione prevista ormai da molti </w:t>
      </w:r>
      <w:r w:rsidR="00D1331D" w:rsidRPr="00FE7D1F">
        <w:rPr>
          <w:rFonts w:ascii="Times New Roman" w:hAnsi="Times New Roman" w:cs="Times New Roman"/>
          <w:sz w:val="24"/>
          <w:szCs w:val="24"/>
        </w:rPr>
        <w:t>Tribunali</w:t>
      </w:r>
      <w:r w:rsidR="005D05F7" w:rsidRPr="00FE7D1F">
        <w:rPr>
          <w:rFonts w:ascii="Times New Roman" w:hAnsi="Times New Roman" w:cs="Times New Roman"/>
          <w:sz w:val="24"/>
          <w:szCs w:val="24"/>
        </w:rPr>
        <w:t>.</w:t>
      </w:r>
    </w:p>
    <w:p w14:paraId="570145A4" w14:textId="4B6E80A9" w:rsidR="00557425" w:rsidRPr="008E3E5C" w:rsidRDefault="00557425" w:rsidP="00557425">
      <w:pPr>
        <w:pStyle w:val="Paragrafoelenco"/>
        <w:numPr>
          <w:ilvl w:val="0"/>
          <w:numId w:val="21"/>
        </w:numPr>
        <w:spacing w:before="100" w:beforeAutospacing="1" w:after="0" w:line="240" w:lineRule="auto"/>
        <w:jc w:val="both"/>
        <w:rPr>
          <w:rFonts w:ascii="Times New Roman" w:hAnsi="Times New Roman" w:cs="Times New Roman"/>
          <w:b/>
          <w:sz w:val="24"/>
          <w:szCs w:val="24"/>
        </w:rPr>
      </w:pPr>
      <w:r w:rsidRPr="008E3E5C">
        <w:rPr>
          <w:rFonts w:ascii="Times New Roman" w:hAnsi="Times New Roman" w:cs="Times New Roman"/>
          <w:b/>
          <w:sz w:val="24"/>
          <w:szCs w:val="24"/>
        </w:rPr>
        <w:t xml:space="preserve">Clausola </w:t>
      </w:r>
      <w:r w:rsidR="000553DA">
        <w:rPr>
          <w:rFonts w:ascii="Times New Roman" w:hAnsi="Times New Roman" w:cs="Times New Roman"/>
          <w:b/>
          <w:sz w:val="24"/>
          <w:szCs w:val="24"/>
        </w:rPr>
        <w:t>limitativa del</w:t>
      </w:r>
      <w:r w:rsidRPr="008E3E5C">
        <w:rPr>
          <w:rFonts w:ascii="Times New Roman" w:hAnsi="Times New Roman" w:cs="Times New Roman"/>
          <w:b/>
          <w:sz w:val="24"/>
          <w:szCs w:val="24"/>
        </w:rPr>
        <w:t xml:space="preserve"> mandato</w:t>
      </w:r>
    </w:p>
    <w:p w14:paraId="66D98502" w14:textId="3AA29194" w:rsidR="00557425" w:rsidRPr="008E3E5C" w:rsidRDefault="00557425" w:rsidP="00557425">
      <w:pPr>
        <w:pStyle w:val="Paragrafoelenco"/>
        <w:spacing w:before="100" w:beforeAutospacing="1" w:after="0" w:line="240" w:lineRule="auto"/>
        <w:jc w:val="both"/>
        <w:rPr>
          <w:rFonts w:ascii="Times New Roman" w:hAnsi="Times New Roman" w:cs="Times New Roman"/>
          <w:sz w:val="24"/>
          <w:szCs w:val="24"/>
        </w:rPr>
      </w:pPr>
      <w:r w:rsidRPr="008E3E5C">
        <w:rPr>
          <w:rFonts w:ascii="Times New Roman" w:hAnsi="Times New Roman" w:cs="Times New Roman"/>
          <w:bCs/>
          <w:sz w:val="24"/>
          <w:szCs w:val="24"/>
        </w:rPr>
        <w:t xml:space="preserve">Potrebbe essere prevista come meramente facoltativa </w:t>
      </w:r>
      <w:r w:rsidRPr="008E3E5C">
        <w:rPr>
          <w:rFonts w:ascii="Times New Roman" w:hAnsi="Times New Roman" w:cs="Times New Roman"/>
          <w:sz w:val="24"/>
          <w:szCs w:val="24"/>
        </w:rPr>
        <w:t xml:space="preserve">la clausola </w:t>
      </w:r>
      <w:r w:rsidR="00D63908">
        <w:rPr>
          <w:rFonts w:ascii="Times New Roman" w:hAnsi="Times New Roman" w:cs="Times New Roman"/>
          <w:sz w:val="24"/>
          <w:szCs w:val="24"/>
        </w:rPr>
        <w:t xml:space="preserve">– </w:t>
      </w:r>
      <w:r w:rsidRPr="008E3E5C">
        <w:rPr>
          <w:rFonts w:ascii="Times New Roman" w:hAnsi="Times New Roman" w:cs="Times New Roman"/>
          <w:sz w:val="24"/>
          <w:szCs w:val="24"/>
        </w:rPr>
        <w:t>obbligatoriamente</w:t>
      </w:r>
      <w:r w:rsidR="00D63908">
        <w:rPr>
          <w:rFonts w:ascii="Times New Roman" w:hAnsi="Times New Roman" w:cs="Times New Roman"/>
          <w:sz w:val="24"/>
          <w:szCs w:val="24"/>
        </w:rPr>
        <w:t xml:space="preserve"> prevista </w:t>
      </w:r>
      <w:r w:rsidRPr="008E3E5C">
        <w:rPr>
          <w:rFonts w:ascii="Times New Roman" w:hAnsi="Times New Roman" w:cs="Times New Roman"/>
          <w:sz w:val="24"/>
          <w:szCs w:val="24"/>
        </w:rPr>
        <w:t xml:space="preserve"> nella Pratica Collaborativa</w:t>
      </w:r>
      <w:r w:rsidR="00D63908">
        <w:rPr>
          <w:rFonts w:ascii="Times New Roman" w:hAnsi="Times New Roman" w:cs="Times New Roman"/>
          <w:sz w:val="24"/>
          <w:szCs w:val="24"/>
        </w:rPr>
        <w:t xml:space="preserve"> </w:t>
      </w:r>
      <w:r w:rsidR="000413C0">
        <w:rPr>
          <w:rFonts w:ascii="Times New Roman" w:hAnsi="Times New Roman" w:cs="Times New Roman"/>
          <w:sz w:val="24"/>
          <w:szCs w:val="24"/>
        </w:rPr>
        <w:t>-</w:t>
      </w:r>
      <w:r w:rsidRPr="008E3E5C">
        <w:rPr>
          <w:rFonts w:ascii="Times New Roman" w:hAnsi="Times New Roman" w:cs="Times New Roman"/>
          <w:sz w:val="24"/>
          <w:szCs w:val="24"/>
        </w:rPr>
        <w:t xml:space="preserve"> con la quale </w:t>
      </w:r>
      <w:r w:rsidRPr="008E3E5C">
        <w:rPr>
          <w:rFonts w:ascii="Times New Roman" w:hAnsi="Times New Roman" w:cs="Times New Roman"/>
          <w:bCs/>
          <w:sz w:val="24"/>
          <w:szCs w:val="24"/>
        </w:rPr>
        <w:t>gli avvocati, in caso di fallimento della procedura di negoziazione, si impegnano a non assistere le parti in futuri contenziosi tra di loro</w:t>
      </w:r>
      <w:r w:rsidRPr="008E3E5C">
        <w:rPr>
          <w:rFonts w:ascii="Times New Roman" w:hAnsi="Times New Roman" w:cs="Times New Roman"/>
          <w:sz w:val="24"/>
          <w:szCs w:val="24"/>
        </w:rPr>
        <w:t xml:space="preserve">. Tale argomento </w:t>
      </w:r>
      <w:r w:rsidR="00D63908" w:rsidRPr="00FE7D1F">
        <w:rPr>
          <w:rFonts w:ascii="Times New Roman" w:hAnsi="Times New Roman" w:cs="Times New Roman"/>
          <w:sz w:val="24"/>
          <w:szCs w:val="24"/>
        </w:rPr>
        <w:t xml:space="preserve">ha un risvolto di sicuro rilievo </w:t>
      </w:r>
      <w:r w:rsidRPr="00FE7D1F">
        <w:rPr>
          <w:rFonts w:ascii="Times New Roman" w:hAnsi="Times New Roman" w:cs="Times New Roman"/>
          <w:sz w:val="24"/>
          <w:szCs w:val="24"/>
        </w:rPr>
        <w:t xml:space="preserve"> anche</w:t>
      </w:r>
      <w:r w:rsidRPr="008E3E5C">
        <w:rPr>
          <w:rFonts w:ascii="Times New Roman" w:hAnsi="Times New Roman" w:cs="Times New Roman"/>
          <w:sz w:val="24"/>
          <w:szCs w:val="24"/>
        </w:rPr>
        <w:t xml:space="preserve"> in relazione all’interpretazione delle norme deontologiche.</w:t>
      </w:r>
    </w:p>
    <w:p w14:paraId="41D0952A" w14:textId="48AC0C04" w:rsidR="00557425" w:rsidRPr="008E3E5C" w:rsidRDefault="00557425" w:rsidP="00557425">
      <w:pPr>
        <w:pStyle w:val="Paragrafoelenco"/>
        <w:numPr>
          <w:ilvl w:val="0"/>
          <w:numId w:val="21"/>
        </w:numPr>
        <w:spacing w:before="100" w:beforeAutospacing="1" w:after="0" w:line="240" w:lineRule="auto"/>
        <w:jc w:val="both"/>
        <w:rPr>
          <w:rFonts w:ascii="Times New Roman" w:hAnsi="Times New Roman" w:cs="Times New Roman"/>
          <w:b/>
          <w:sz w:val="24"/>
          <w:szCs w:val="24"/>
        </w:rPr>
      </w:pPr>
      <w:r w:rsidRPr="008E3E5C">
        <w:rPr>
          <w:rFonts w:ascii="Times New Roman" w:hAnsi="Times New Roman" w:cs="Times New Roman"/>
          <w:b/>
          <w:sz w:val="24"/>
          <w:szCs w:val="24"/>
        </w:rPr>
        <w:t xml:space="preserve">Benefici fiscali </w:t>
      </w:r>
      <w:r w:rsidR="00BE6583">
        <w:rPr>
          <w:rFonts w:ascii="Times New Roman" w:hAnsi="Times New Roman" w:cs="Times New Roman"/>
          <w:b/>
          <w:sz w:val="24"/>
          <w:szCs w:val="24"/>
        </w:rPr>
        <w:t>sui passaggi di proprietà</w:t>
      </w:r>
    </w:p>
    <w:p w14:paraId="79F73443" w14:textId="34B9EAAB" w:rsidR="00557425" w:rsidRPr="008E3E5C" w:rsidRDefault="00557425" w:rsidP="00557425">
      <w:pPr>
        <w:pStyle w:val="Paragrafoelenco"/>
        <w:spacing w:before="100" w:beforeAutospacing="1" w:after="0" w:line="240" w:lineRule="auto"/>
        <w:jc w:val="both"/>
        <w:rPr>
          <w:rFonts w:ascii="Times New Roman" w:hAnsi="Times New Roman" w:cs="Times New Roman"/>
          <w:sz w:val="24"/>
          <w:szCs w:val="24"/>
        </w:rPr>
      </w:pPr>
      <w:r w:rsidRPr="008E3E5C">
        <w:rPr>
          <w:rFonts w:ascii="Times New Roman" w:hAnsi="Times New Roman" w:cs="Times New Roman"/>
          <w:sz w:val="24"/>
          <w:szCs w:val="24"/>
        </w:rPr>
        <w:t>Per incentivare l’utilizzo dello strumento della negoziazione assistita</w:t>
      </w:r>
      <w:r w:rsidR="00D63908">
        <w:rPr>
          <w:rFonts w:ascii="Times New Roman" w:hAnsi="Times New Roman" w:cs="Times New Roman"/>
          <w:sz w:val="24"/>
          <w:szCs w:val="24"/>
        </w:rPr>
        <w:t xml:space="preserve"> è opportuno rammentare agli avvocati che la N.A. </w:t>
      </w:r>
      <w:r w:rsidRPr="008E3E5C">
        <w:rPr>
          <w:rFonts w:ascii="Times New Roman" w:hAnsi="Times New Roman" w:cs="Times New Roman"/>
          <w:sz w:val="24"/>
          <w:szCs w:val="24"/>
        </w:rPr>
        <w:t xml:space="preserve"> </w:t>
      </w:r>
      <w:r w:rsidR="00BE6583">
        <w:rPr>
          <w:rFonts w:ascii="Times New Roman" w:hAnsi="Times New Roman" w:cs="Times New Roman"/>
          <w:sz w:val="24"/>
          <w:szCs w:val="24"/>
        </w:rPr>
        <w:t xml:space="preserve">può essere proficuamente utilizzata anche </w:t>
      </w:r>
      <w:r w:rsidRPr="008E3E5C">
        <w:rPr>
          <w:rFonts w:ascii="Times New Roman" w:hAnsi="Times New Roman" w:cs="Times New Roman"/>
          <w:sz w:val="24"/>
          <w:szCs w:val="24"/>
        </w:rPr>
        <w:t xml:space="preserve">laddove l’accordo preveda passaggi di proprietà </w:t>
      </w:r>
      <w:r w:rsidR="00BE6583">
        <w:rPr>
          <w:rFonts w:ascii="Times New Roman" w:hAnsi="Times New Roman" w:cs="Times New Roman"/>
          <w:sz w:val="24"/>
          <w:szCs w:val="24"/>
        </w:rPr>
        <w:t xml:space="preserve">tra i coniugi </w:t>
      </w:r>
      <w:r w:rsidR="00813066">
        <w:rPr>
          <w:rFonts w:ascii="Times New Roman" w:hAnsi="Times New Roman" w:cs="Times New Roman"/>
          <w:sz w:val="24"/>
          <w:szCs w:val="24"/>
        </w:rPr>
        <w:t xml:space="preserve">(tanto di beni immobili che di beni mobili registrati) </w:t>
      </w:r>
      <w:r w:rsidR="00BE6583">
        <w:rPr>
          <w:rFonts w:ascii="Times New Roman" w:hAnsi="Times New Roman" w:cs="Times New Roman"/>
          <w:sz w:val="24"/>
          <w:szCs w:val="24"/>
        </w:rPr>
        <w:t xml:space="preserve">e pertanto </w:t>
      </w:r>
      <w:r w:rsidR="00813066">
        <w:rPr>
          <w:rFonts w:ascii="Times New Roman" w:hAnsi="Times New Roman" w:cs="Times New Roman"/>
          <w:sz w:val="24"/>
          <w:szCs w:val="24"/>
        </w:rPr>
        <w:t xml:space="preserve">è stato </w:t>
      </w:r>
      <w:r w:rsidR="00BE6583">
        <w:rPr>
          <w:rFonts w:ascii="Times New Roman" w:hAnsi="Times New Roman" w:cs="Times New Roman"/>
          <w:sz w:val="24"/>
          <w:szCs w:val="24"/>
        </w:rPr>
        <w:t xml:space="preserve"> messo a punto e fornito alla Procura</w:t>
      </w:r>
      <w:r w:rsidR="00813066">
        <w:rPr>
          <w:rFonts w:ascii="Times New Roman" w:hAnsi="Times New Roman" w:cs="Times New Roman"/>
          <w:sz w:val="24"/>
          <w:szCs w:val="24"/>
        </w:rPr>
        <w:t xml:space="preserve"> di Roma</w:t>
      </w:r>
      <w:r w:rsidR="00BE6583">
        <w:rPr>
          <w:rFonts w:ascii="Times New Roman" w:hAnsi="Times New Roman" w:cs="Times New Roman"/>
          <w:sz w:val="24"/>
          <w:szCs w:val="24"/>
        </w:rPr>
        <w:t xml:space="preserve"> un’ulteriore versione del vademecum </w:t>
      </w:r>
      <w:r w:rsidR="00813066">
        <w:rPr>
          <w:rFonts w:ascii="Times New Roman" w:hAnsi="Times New Roman" w:cs="Times New Roman"/>
          <w:sz w:val="24"/>
          <w:szCs w:val="24"/>
        </w:rPr>
        <w:t xml:space="preserve">(la n° 15 che oggi vi alleghiamo) </w:t>
      </w:r>
      <w:r w:rsidR="00BE6583">
        <w:rPr>
          <w:rFonts w:ascii="Times New Roman" w:hAnsi="Times New Roman" w:cs="Times New Roman"/>
          <w:sz w:val="24"/>
          <w:szCs w:val="24"/>
        </w:rPr>
        <w:t>che contiene</w:t>
      </w:r>
      <w:r w:rsidRPr="008E3E5C">
        <w:rPr>
          <w:rFonts w:ascii="Times New Roman" w:hAnsi="Times New Roman" w:cs="Times New Roman"/>
          <w:sz w:val="24"/>
          <w:szCs w:val="24"/>
        </w:rPr>
        <w:t xml:space="preserve"> le formule da inserire per fruire dei</w:t>
      </w:r>
      <w:r w:rsidR="00BE6583">
        <w:rPr>
          <w:rFonts w:ascii="Times New Roman" w:hAnsi="Times New Roman" w:cs="Times New Roman"/>
          <w:sz w:val="24"/>
          <w:szCs w:val="24"/>
        </w:rPr>
        <w:t xml:space="preserve"> medesimi</w:t>
      </w:r>
      <w:r w:rsidRPr="008E3E5C">
        <w:rPr>
          <w:rFonts w:ascii="Times New Roman" w:hAnsi="Times New Roman" w:cs="Times New Roman"/>
          <w:sz w:val="24"/>
          <w:szCs w:val="24"/>
        </w:rPr>
        <w:t xml:space="preserve"> benefici fiscali </w:t>
      </w:r>
      <w:r w:rsidR="00813066">
        <w:rPr>
          <w:rFonts w:ascii="Times New Roman" w:hAnsi="Times New Roman" w:cs="Times New Roman"/>
          <w:sz w:val="24"/>
          <w:szCs w:val="24"/>
        </w:rPr>
        <w:t xml:space="preserve">ma anche le formule da usare in relazioni alle eventuali clausole di cui ai superiori  punti 4. e 5. </w:t>
      </w:r>
    </w:p>
    <w:p w14:paraId="2E805E70" w14:textId="77777777" w:rsidR="00557425" w:rsidRPr="008B53E8" w:rsidRDefault="00557425" w:rsidP="00557425">
      <w:pPr>
        <w:pStyle w:val="Paragrafoelenco"/>
        <w:numPr>
          <w:ilvl w:val="0"/>
          <w:numId w:val="21"/>
        </w:numPr>
        <w:spacing w:before="100" w:beforeAutospacing="1" w:after="0" w:line="240" w:lineRule="auto"/>
        <w:jc w:val="both"/>
        <w:rPr>
          <w:rFonts w:ascii="Times New Roman" w:hAnsi="Times New Roman" w:cs="Times New Roman"/>
          <w:sz w:val="24"/>
          <w:szCs w:val="24"/>
        </w:rPr>
      </w:pPr>
      <w:r w:rsidRPr="008B53E8">
        <w:rPr>
          <w:rFonts w:ascii="Times New Roman" w:hAnsi="Times New Roman" w:cs="Times New Roman"/>
          <w:b/>
          <w:sz w:val="24"/>
          <w:szCs w:val="24"/>
        </w:rPr>
        <w:t>Passaggio dal procedimento giudiziale alla negoziazione assistita</w:t>
      </w:r>
    </w:p>
    <w:p w14:paraId="76E1DF8D" w14:textId="18C31AC4" w:rsidR="006258A9" w:rsidRPr="008B53E8" w:rsidRDefault="00557425" w:rsidP="00557425">
      <w:pPr>
        <w:pStyle w:val="Paragrafoelenco"/>
        <w:spacing w:before="100" w:beforeAutospacing="1" w:after="0" w:line="240" w:lineRule="auto"/>
        <w:jc w:val="both"/>
        <w:rPr>
          <w:rFonts w:ascii="Times New Roman" w:hAnsi="Times New Roman" w:cs="Times New Roman"/>
          <w:sz w:val="24"/>
          <w:szCs w:val="24"/>
        </w:rPr>
      </w:pPr>
      <w:r w:rsidRPr="008B53E8">
        <w:rPr>
          <w:rFonts w:ascii="Times New Roman" w:hAnsi="Times New Roman" w:cs="Times New Roman"/>
          <w:sz w:val="24"/>
          <w:szCs w:val="24"/>
        </w:rPr>
        <w:t xml:space="preserve">Numerosi iniziano ad essere i casi nei quali le parti, per varie ragioni, decidono di abbandonare il percorso giudiziale inizialmente intrapreso e di </w:t>
      </w:r>
      <w:r w:rsidR="006258A9" w:rsidRPr="008B53E8">
        <w:rPr>
          <w:rFonts w:ascii="Times New Roman" w:hAnsi="Times New Roman" w:cs="Times New Roman"/>
          <w:sz w:val="24"/>
          <w:szCs w:val="24"/>
        </w:rPr>
        <w:t xml:space="preserve">fare ricorso allo </w:t>
      </w:r>
      <w:r w:rsidR="00A14AEF" w:rsidRPr="008B53E8">
        <w:rPr>
          <w:rFonts w:ascii="Times New Roman" w:hAnsi="Times New Roman" w:cs="Times New Roman"/>
          <w:sz w:val="24"/>
          <w:szCs w:val="24"/>
        </w:rPr>
        <w:t>strumento</w:t>
      </w:r>
      <w:r w:rsidR="006258A9" w:rsidRPr="008B53E8">
        <w:rPr>
          <w:rFonts w:ascii="Times New Roman" w:hAnsi="Times New Roman" w:cs="Times New Roman"/>
          <w:sz w:val="24"/>
          <w:szCs w:val="24"/>
        </w:rPr>
        <w:t xml:space="preserve"> della N.A. . i casi possono essere differenti : </w:t>
      </w:r>
    </w:p>
    <w:p w14:paraId="0DB3C229" w14:textId="72615E01" w:rsidR="00557425" w:rsidRPr="008B53E8" w:rsidRDefault="006258A9" w:rsidP="00557425">
      <w:pPr>
        <w:pStyle w:val="Paragrafoelenco"/>
        <w:spacing w:before="100" w:beforeAutospacing="1" w:after="0" w:line="240" w:lineRule="auto"/>
        <w:jc w:val="both"/>
        <w:rPr>
          <w:rFonts w:ascii="Times New Roman" w:hAnsi="Times New Roman" w:cs="Times New Roman"/>
          <w:iCs/>
          <w:sz w:val="24"/>
          <w:szCs w:val="24"/>
        </w:rPr>
      </w:pPr>
      <w:r w:rsidRPr="008B53E8">
        <w:rPr>
          <w:rFonts w:ascii="Times New Roman" w:hAnsi="Times New Roman" w:cs="Times New Roman"/>
          <w:sz w:val="24"/>
          <w:szCs w:val="24"/>
        </w:rPr>
        <w:t xml:space="preserve">A – SEPARAZIONE : </w:t>
      </w:r>
      <w:r w:rsidR="00AB5D4F" w:rsidRPr="008B53E8">
        <w:rPr>
          <w:rFonts w:ascii="Times New Roman" w:hAnsi="Times New Roman" w:cs="Times New Roman"/>
          <w:sz w:val="24"/>
          <w:szCs w:val="24"/>
        </w:rPr>
        <w:t xml:space="preserve">se con la N.A.  si </w:t>
      </w:r>
      <w:r w:rsidR="00A14AEF" w:rsidRPr="008B53E8">
        <w:rPr>
          <w:rFonts w:ascii="Times New Roman" w:hAnsi="Times New Roman" w:cs="Times New Roman"/>
          <w:sz w:val="24"/>
          <w:szCs w:val="24"/>
        </w:rPr>
        <w:t>vogliono</w:t>
      </w:r>
      <w:r w:rsidR="00AB5D4F" w:rsidRPr="008B53E8">
        <w:rPr>
          <w:rFonts w:ascii="Times New Roman" w:hAnsi="Times New Roman" w:cs="Times New Roman"/>
          <w:sz w:val="24"/>
          <w:szCs w:val="24"/>
        </w:rPr>
        <w:t xml:space="preserve"> definire </w:t>
      </w:r>
      <w:r w:rsidR="00A14AEF" w:rsidRPr="008B53E8">
        <w:rPr>
          <w:rFonts w:ascii="Times New Roman" w:hAnsi="Times New Roman" w:cs="Times New Roman"/>
          <w:sz w:val="24"/>
          <w:szCs w:val="24"/>
        </w:rPr>
        <w:t xml:space="preserve"> </w:t>
      </w:r>
      <w:r w:rsidR="00AB5D4F" w:rsidRPr="008B53E8">
        <w:rPr>
          <w:rFonts w:ascii="Times New Roman" w:hAnsi="Times New Roman" w:cs="Times New Roman"/>
          <w:sz w:val="24"/>
          <w:szCs w:val="24"/>
        </w:rPr>
        <w:t xml:space="preserve"> le </w:t>
      </w:r>
      <w:r w:rsidR="00A14AEF" w:rsidRPr="008B53E8">
        <w:rPr>
          <w:rFonts w:ascii="Times New Roman" w:hAnsi="Times New Roman" w:cs="Times New Roman"/>
          <w:sz w:val="24"/>
          <w:szCs w:val="24"/>
        </w:rPr>
        <w:t xml:space="preserve"> </w:t>
      </w:r>
      <w:r w:rsidR="00AB5D4F" w:rsidRPr="008B53E8">
        <w:rPr>
          <w:rFonts w:ascii="Times New Roman" w:hAnsi="Times New Roman" w:cs="Times New Roman"/>
          <w:sz w:val="24"/>
          <w:szCs w:val="24"/>
        </w:rPr>
        <w:t xml:space="preserve"> condizioni </w:t>
      </w:r>
      <w:r w:rsidR="00A14AEF" w:rsidRPr="008B53E8">
        <w:rPr>
          <w:rFonts w:ascii="Times New Roman" w:hAnsi="Times New Roman" w:cs="Times New Roman"/>
          <w:sz w:val="24"/>
          <w:szCs w:val="24"/>
        </w:rPr>
        <w:t>accessorie</w:t>
      </w:r>
      <w:r w:rsidR="00AB5D4F" w:rsidRPr="008B53E8">
        <w:rPr>
          <w:rFonts w:ascii="Times New Roman" w:hAnsi="Times New Roman" w:cs="Times New Roman"/>
          <w:sz w:val="24"/>
          <w:szCs w:val="24"/>
        </w:rPr>
        <w:t xml:space="preserve"> della </w:t>
      </w:r>
      <w:r w:rsidR="00A14AEF" w:rsidRPr="008B53E8">
        <w:rPr>
          <w:rFonts w:ascii="Times New Roman" w:hAnsi="Times New Roman" w:cs="Times New Roman"/>
          <w:sz w:val="24"/>
          <w:szCs w:val="24"/>
        </w:rPr>
        <w:t>separazione</w:t>
      </w:r>
      <w:r w:rsidR="00AB5D4F" w:rsidRPr="008B53E8">
        <w:rPr>
          <w:rFonts w:ascii="Times New Roman" w:hAnsi="Times New Roman" w:cs="Times New Roman"/>
          <w:sz w:val="24"/>
          <w:szCs w:val="24"/>
        </w:rPr>
        <w:t xml:space="preserve"> </w:t>
      </w:r>
      <w:r w:rsidR="00A14AEF" w:rsidRPr="008B53E8">
        <w:rPr>
          <w:rFonts w:ascii="Times New Roman" w:hAnsi="Times New Roman" w:cs="Times New Roman"/>
          <w:sz w:val="24"/>
          <w:szCs w:val="24"/>
        </w:rPr>
        <w:t xml:space="preserve"> (laddove</w:t>
      </w:r>
      <w:r w:rsidR="00AB5D4F" w:rsidRPr="008B53E8">
        <w:rPr>
          <w:rFonts w:ascii="Times New Roman" w:hAnsi="Times New Roman" w:cs="Times New Roman"/>
          <w:sz w:val="24"/>
          <w:szCs w:val="24"/>
        </w:rPr>
        <w:t xml:space="preserve"> </w:t>
      </w:r>
      <w:r w:rsidR="007129D6" w:rsidRPr="008B53E8">
        <w:rPr>
          <w:rFonts w:ascii="Times New Roman" w:hAnsi="Times New Roman" w:cs="Times New Roman"/>
          <w:sz w:val="24"/>
          <w:szCs w:val="24"/>
        </w:rPr>
        <w:t xml:space="preserve">sia stata </w:t>
      </w:r>
      <w:r w:rsidR="00AB5D4F" w:rsidRPr="008B53E8">
        <w:rPr>
          <w:rFonts w:ascii="Times New Roman" w:hAnsi="Times New Roman" w:cs="Times New Roman"/>
          <w:sz w:val="24"/>
          <w:szCs w:val="24"/>
        </w:rPr>
        <w:t xml:space="preserve">già </w:t>
      </w:r>
      <w:r w:rsidR="007129D6" w:rsidRPr="008B53E8">
        <w:rPr>
          <w:rFonts w:ascii="Times New Roman" w:hAnsi="Times New Roman" w:cs="Times New Roman"/>
          <w:sz w:val="24"/>
          <w:szCs w:val="24"/>
        </w:rPr>
        <w:t>pronunciata</w:t>
      </w:r>
      <w:r w:rsidR="00AB5D4F" w:rsidRPr="008B53E8">
        <w:rPr>
          <w:rFonts w:ascii="Times New Roman" w:hAnsi="Times New Roman" w:cs="Times New Roman"/>
          <w:sz w:val="24"/>
          <w:szCs w:val="24"/>
        </w:rPr>
        <w:t xml:space="preserve"> la sentenza  non </w:t>
      </w:r>
      <w:r w:rsidR="00A14AEF" w:rsidRPr="008B53E8">
        <w:rPr>
          <w:rFonts w:ascii="Times New Roman" w:hAnsi="Times New Roman" w:cs="Times New Roman"/>
          <w:sz w:val="24"/>
          <w:szCs w:val="24"/>
        </w:rPr>
        <w:t>definitiva</w:t>
      </w:r>
      <w:r w:rsidR="00AB5D4F" w:rsidRPr="008B53E8">
        <w:rPr>
          <w:rFonts w:ascii="Times New Roman" w:hAnsi="Times New Roman" w:cs="Times New Roman"/>
          <w:sz w:val="24"/>
          <w:szCs w:val="24"/>
        </w:rPr>
        <w:t xml:space="preserve"> sullo status</w:t>
      </w:r>
      <w:r w:rsidR="007129D6" w:rsidRPr="008B53E8">
        <w:rPr>
          <w:rFonts w:ascii="Times New Roman" w:hAnsi="Times New Roman" w:cs="Times New Roman"/>
          <w:sz w:val="24"/>
          <w:szCs w:val="24"/>
        </w:rPr>
        <w:t>)</w:t>
      </w:r>
      <w:r w:rsidR="00AB5D4F" w:rsidRPr="008B53E8">
        <w:rPr>
          <w:rFonts w:ascii="Times New Roman" w:hAnsi="Times New Roman" w:cs="Times New Roman"/>
          <w:sz w:val="24"/>
          <w:szCs w:val="24"/>
        </w:rPr>
        <w:t xml:space="preserve"> </w:t>
      </w:r>
      <w:r w:rsidR="00A14AEF" w:rsidRPr="008B53E8">
        <w:rPr>
          <w:rFonts w:ascii="Times New Roman" w:hAnsi="Times New Roman" w:cs="Times New Roman"/>
          <w:sz w:val="24"/>
          <w:szCs w:val="24"/>
        </w:rPr>
        <w:t xml:space="preserve">, </w:t>
      </w:r>
      <w:r w:rsidR="00AB5D4F" w:rsidRPr="008B53E8">
        <w:rPr>
          <w:rFonts w:ascii="Times New Roman" w:hAnsi="Times New Roman" w:cs="Times New Roman"/>
          <w:sz w:val="24"/>
          <w:szCs w:val="24"/>
        </w:rPr>
        <w:t xml:space="preserve">ovvero </w:t>
      </w:r>
      <w:r w:rsidR="00A14AEF" w:rsidRPr="008B53E8">
        <w:rPr>
          <w:rFonts w:ascii="Times New Roman" w:hAnsi="Times New Roman" w:cs="Times New Roman"/>
          <w:sz w:val="24"/>
          <w:szCs w:val="24"/>
        </w:rPr>
        <w:t>affrontare in toto la separazione (</w:t>
      </w:r>
      <w:r w:rsidR="00AB5D4F" w:rsidRPr="008B53E8">
        <w:rPr>
          <w:rFonts w:ascii="Times New Roman" w:hAnsi="Times New Roman" w:cs="Times New Roman"/>
          <w:sz w:val="24"/>
          <w:szCs w:val="24"/>
        </w:rPr>
        <w:t>ove tale pronuncia intermedia non vi sia stata</w:t>
      </w:r>
      <w:r w:rsidR="00A14AEF" w:rsidRPr="008B53E8">
        <w:rPr>
          <w:rFonts w:ascii="Times New Roman" w:hAnsi="Times New Roman" w:cs="Times New Roman"/>
          <w:sz w:val="24"/>
          <w:szCs w:val="24"/>
        </w:rPr>
        <w:t>)</w:t>
      </w:r>
      <w:r w:rsidR="00AB5D4F" w:rsidRPr="008B53E8">
        <w:rPr>
          <w:rFonts w:ascii="Times New Roman" w:hAnsi="Times New Roman" w:cs="Times New Roman"/>
          <w:sz w:val="24"/>
          <w:szCs w:val="24"/>
        </w:rPr>
        <w:t xml:space="preserve">  </w:t>
      </w:r>
      <w:r w:rsidR="007129D6" w:rsidRPr="008B53E8">
        <w:rPr>
          <w:rFonts w:ascii="Times New Roman" w:hAnsi="Times New Roman" w:cs="Times New Roman"/>
          <w:sz w:val="24"/>
          <w:szCs w:val="24"/>
        </w:rPr>
        <w:t xml:space="preserve">si potrà </w:t>
      </w:r>
      <w:r w:rsidR="00AB5D4F" w:rsidRPr="008B53E8">
        <w:rPr>
          <w:rFonts w:ascii="Times New Roman" w:hAnsi="Times New Roman" w:cs="Times New Roman"/>
          <w:sz w:val="24"/>
          <w:szCs w:val="24"/>
        </w:rPr>
        <w:t xml:space="preserve">sottoscrivere unitamente all’accordo (che sarà stato preceduto dalla convenzione) </w:t>
      </w:r>
      <w:r w:rsidR="007129D6" w:rsidRPr="008B53E8">
        <w:rPr>
          <w:rFonts w:ascii="Times New Roman" w:hAnsi="Times New Roman" w:cs="Times New Roman"/>
          <w:sz w:val="24"/>
          <w:szCs w:val="24"/>
        </w:rPr>
        <w:t xml:space="preserve">i reciproci atti di rinuncia ed accettazione della stessa </w:t>
      </w:r>
      <w:r w:rsidR="001B0880" w:rsidRPr="008B53E8">
        <w:rPr>
          <w:rFonts w:ascii="Times New Roman" w:hAnsi="Times New Roman" w:cs="Times New Roman"/>
          <w:sz w:val="24"/>
          <w:szCs w:val="24"/>
        </w:rPr>
        <w:t xml:space="preserve">da depositare immediatamente </w:t>
      </w:r>
      <w:r w:rsidR="007129D6" w:rsidRPr="008B53E8">
        <w:rPr>
          <w:rFonts w:ascii="Times New Roman" w:hAnsi="Times New Roman" w:cs="Times New Roman"/>
          <w:sz w:val="24"/>
          <w:szCs w:val="24"/>
        </w:rPr>
        <w:t>in modo da avere il provvedimento di estinzione del procedimento contenzioso</w:t>
      </w:r>
      <w:r w:rsidR="001B0880" w:rsidRPr="008B53E8">
        <w:rPr>
          <w:rFonts w:ascii="Times New Roman" w:hAnsi="Times New Roman" w:cs="Times New Roman"/>
          <w:sz w:val="24"/>
          <w:szCs w:val="24"/>
        </w:rPr>
        <w:t xml:space="preserve"> prima di ottenere il Nulla Osta/Autorizzazione da parte del PM </w:t>
      </w:r>
      <w:r w:rsidR="00333988" w:rsidRPr="008B53E8">
        <w:rPr>
          <w:rFonts w:ascii="Times New Roman" w:hAnsi="Times New Roman" w:cs="Times New Roman"/>
          <w:sz w:val="24"/>
          <w:szCs w:val="24"/>
        </w:rPr>
        <w:t>(la Procura di Roma ha dato la disponibilità di ten</w:t>
      </w:r>
      <w:r w:rsidR="00D00A09" w:rsidRPr="008B53E8">
        <w:rPr>
          <w:rFonts w:ascii="Times New Roman" w:hAnsi="Times New Roman" w:cs="Times New Roman"/>
          <w:sz w:val="24"/>
          <w:szCs w:val="24"/>
        </w:rPr>
        <w:t>e</w:t>
      </w:r>
      <w:r w:rsidR="00333988" w:rsidRPr="008B53E8">
        <w:rPr>
          <w:rFonts w:ascii="Times New Roman" w:hAnsi="Times New Roman" w:cs="Times New Roman"/>
          <w:sz w:val="24"/>
          <w:szCs w:val="24"/>
        </w:rPr>
        <w:t xml:space="preserve">re in </w:t>
      </w:r>
      <w:r w:rsidR="00205FFE">
        <w:rPr>
          <w:rFonts w:ascii="Times New Roman" w:hAnsi="Times New Roman" w:cs="Times New Roman"/>
          <w:sz w:val="24"/>
          <w:szCs w:val="24"/>
        </w:rPr>
        <w:t>sospeso</w:t>
      </w:r>
      <w:r w:rsidR="00333988" w:rsidRPr="008B53E8">
        <w:rPr>
          <w:rFonts w:ascii="Times New Roman" w:hAnsi="Times New Roman" w:cs="Times New Roman"/>
          <w:sz w:val="24"/>
          <w:szCs w:val="24"/>
        </w:rPr>
        <w:t xml:space="preserve"> il </w:t>
      </w:r>
      <w:r w:rsidR="00D00A09" w:rsidRPr="008B53E8">
        <w:rPr>
          <w:rFonts w:ascii="Times New Roman" w:hAnsi="Times New Roman" w:cs="Times New Roman"/>
          <w:sz w:val="24"/>
          <w:szCs w:val="24"/>
        </w:rPr>
        <w:t>fasci</w:t>
      </w:r>
      <w:r w:rsidR="00205FFE">
        <w:rPr>
          <w:rFonts w:ascii="Times New Roman" w:hAnsi="Times New Roman" w:cs="Times New Roman"/>
          <w:sz w:val="24"/>
          <w:szCs w:val="24"/>
        </w:rPr>
        <w:t>co</w:t>
      </w:r>
      <w:r w:rsidR="00D00A09" w:rsidRPr="008B53E8">
        <w:rPr>
          <w:rFonts w:ascii="Times New Roman" w:hAnsi="Times New Roman" w:cs="Times New Roman"/>
          <w:sz w:val="24"/>
          <w:szCs w:val="24"/>
        </w:rPr>
        <w:t>l</w:t>
      </w:r>
      <w:r w:rsidR="00205FFE">
        <w:rPr>
          <w:rFonts w:ascii="Times New Roman" w:hAnsi="Times New Roman" w:cs="Times New Roman"/>
          <w:sz w:val="24"/>
          <w:szCs w:val="24"/>
        </w:rPr>
        <w:t>o</w:t>
      </w:r>
      <w:r w:rsidR="00333988" w:rsidRPr="008B53E8">
        <w:rPr>
          <w:rFonts w:ascii="Times New Roman" w:hAnsi="Times New Roman" w:cs="Times New Roman"/>
          <w:sz w:val="24"/>
          <w:szCs w:val="24"/>
        </w:rPr>
        <w:t xml:space="preserve"> dell’accordo sino alla consegna del </w:t>
      </w:r>
      <w:r w:rsidR="00D00A09" w:rsidRPr="008B53E8">
        <w:rPr>
          <w:rFonts w:ascii="Times New Roman" w:hAnsi="Times New Roman" w:cs="Times New Roman"/>
          <w:sz w:val="24"/>
          <w:szCs w:val="24"/>
        </w:rPr>
        <w:t>provvedimento</w:t>
      </w:r>
      <w:r w:rsidR="00333988" w:rsidRPr="008B53E8">
        <w:rPr>
          <w:rFonts w:ascii="Times New Roman" w:hAnsi="Times New Roman" w:cs="Times New Roman"/>
          <w:sz w:val="24"/>
          <w:szCs w:val="24"/>
        </w:rPr>
        <w:t xml:space="preserve"> stesso, in tal modo le parti sono comunque già vincolate </w:t>
      </w:r>
      <w:r w:rsidR="00D00A09" w:rsidRPr="008B53E8">
        <w:rPr>
          <w:rFonts w:ascii="Times New Roman" w:hAnsi="Times New Roman" w:cs="Times New Roman"/>
          <w:sz w:val="24"/>
          <w:szCs w:val="24"/>
        </w:rPr>
        <w:t>dalla sottoscrizione dell’accordo</w:t>
      </w:r>
      <w:r w:rsidR="00333988" w:rsidRPr="008B53E8">
        <w:rPr>
          <w:rFonts w:ascii="Times New Roman" w:hAnsi="Times New Roman" w:cs="Times New Roman"/>
          <w:sz w:val="24"/>
          <w:szCs w:val="24"/>
        </w:rPr>
        <w:t xml:space="preserve"> e gli av</w:t>
      </w:r>
      <w:r w:rsidR="00D00A09" w:rsidRPr="008B53E8">
        <w:rPr>
          <w:rFonts w:ascii="Times New Roman" w:hAnsi="Times New Roman" w:cs="Times New Roman"/>
          <w:sz w:val="24"/>
          <w:szCs w:val="24"/>
        </w:rPr>
        <w:t>vocati no</w:t>
      </w:r>
      <w:r w:rsidR="00333988" w:rsidRPr="008B53E8">
        <w:rPr>
          <w:rFonts w:ascii="Times New Roman" w:hAnsi="Times New Roman" w:cs="Times New Roman"/>
          <w:sz w:val="24"/>
          <w:szCs w:val="24"/>
        </w:rPr>
        <w:t>n debbono assumersi la responsabilità del se e quando depositarlo)</w:t>
      </w:r>
      <w:r w:rsidR="007129D6" w:rsidRPr="008B53E8">
        <w:rPr>
          <w:rFonts w:ascii="Times New Roman" w:hAnsi="Times New Roman" w:cs="Times New Roman"/>
          <w:sz w:val="24"/>
          <w:szCs w:val="24"/>
        </w:rPr>
        <w:t>.</w:t>
      </w:r>
      <w:r w:rsidR="00DC3FBC" w:rsidRPr="008B53E8">
        <w:rPr>
          <w:rFonts w:ascii="Times New Roman" w:hAnsi="Times New Roman" w:cs="Times New Roman"/>
          <w:sz w:val="24"/>
          <w:szCs w:val="24"/>
        </w:rPr>
        <w:t xml:space="preserve"> </w:t>
      </w:r>
      <w:r w:rsidR="007129D6" w:rsidRPr="008B53E8">
        <w:rPr>
          <w:rFonts w:ascii="Times New Roman" w:hAnsi="Times New Roman" w:cs="Times New Roman"/>
          <w:sz w:val="24"/>
          <w:szCs w:val="24"/>
        </w:rPr>
        <w:t>Occo</w:t>
      </w:r>
      <w:r w:rsidR="00557425" w:rsidRPr="008B53E8">
        <w:rPr>
          <w:rFonts w:ascii="Times New Roman" w:hAnsi="Times New Roman" w:cs="Times New Roman"/>
          <w:sz w:val="24"/>
          <w:szCs w:val="24"/>
        </w:rPr>
        <w:t xml:space="preserve">rrerebbe </w:t>
      </w:r>
      <w:r w:rsidR="00D00A09" w:rsidRPr="008B53E8">
        <w:rPr>
          <w:rFonts w:ascii="Times New Roman" w:hAnsi="Times New Roman" w:cs="Times New Roman"/>
          <w:sz w:val="24"/>
          <w:szCs w:val="24"/>
        </w:rPr>
        <w:t xml:space="preserve">nondimeno </w:t>
      </w:r>
      <w:r w:rsidR="00557425" w:rsidRPr="008B53E8">
        <w:rPr>
          <w:rFonts w:ascii="Times New Roman" w:hAnsi="Times New Roman" w:cs="Times New Roman"/>
          <w:iCs/>
          <w:sz w:val="24"/>
          <w:szCs w:val="24"/>
        </w:rPr>
        <w:t>sensibilizza</w:t>
      </w:r>
      <w:r w:rsidR="00DC3FBC" w:rsidRPr="008B53E8">
        <w:rPr>
          <w:rFonts w:ascii="Times New Roman" w:hAnsi="Times New Roman" w:cs="Times New Roman"/>
          <w:iCs/>
          <w:sz w:val="24"/>
          <w:szCs w:val="24"/>
        </w:rPr>
        <w:t>re</w:t>
      </w:r>
      <w:r w:rsidR="00557425" w:rsidRPr="008B53E8">
        <w:rPr>
          <w:rFonts w:ascii="Times New Roman" w:hAnsi="Times New Roman" w:cs="Times New Roman"/>
          <w:iCs/>
          <w:sz w:val="24"/>
          <w:szCs w:val="24"/>
        </w:rPr>
        <w:t xml:space="preserve"> i giudici a</w:t>
      </w:r>
      <w:r w:rsidR="00DC3FBC" w:rsidRPr="008B53E8">
        <w:rPr>
          <w:rFonts w:ascii="Times New Roman" w:hAnsi="Times New Roman" w:cs="Times New Roman"/>
          <w:iCs/>
          <w:sz w:val="24"/>
          <w:szCs w:val="24"/>
        </w:rPr>
        <w:t>d accelerare al massimo i tempi di declaratoria di estinzione che si potrà conseguire attraverso i seguenti percorsi :</w:t>
      </w:r>
      <w:r w:rsidR="00557425" w:rsidRPr="008B53E8">
        <w:rPr>
          <w:rFonts w:ascii="Times New Roman" w:hAnsi="Times New Roman" w:cs="Times New Roman"/>
          <w:sz w:val="24"/>
          <w:szCs w:val="24"/>
        </w:rPr>
        <w:t xml:space="preserve"> (i) non comparizione delle parti al</w:t>
      </w:r>
      <w:r w:rsidR="00557425" w:rsidRPr="008B53E8">
        <w:rPr>
          <w:rFonts w:ascii="Times New Roman" w:hAnsi="Times New Roman" w:cs="Times New Roman"/>
          <w:iCs/>
          <w:sz w:val="24"/>
          <w:szCs w:val="24"/>
        </w:rPr>
        <w:t>l’udienza presidenziale per ottenere l’immeditata declaratori</w:t>
      </w:r>
      <w:r w:rsidR="00DC3FBC" w:rsidRPr="008B53E8">
        <w:rPr>
          <w:rFonts w:ascii="Times New Roman" w:hAnsi="Times New Roman" w:cs="Times New Roman"/>
          <w:iCs/>
          <w:sz w:val="24"/>
          <w:szCs w:val="24"/>
        </w:rPr>
        <w:t>a</w:t>
      </w:r>
      <w:r w:rsidR="00557425" w:rsidRPr="008B53E8">
        <w:rPr>
          <w:rFonts w:ascii="Times New Roman" w:hAnsi="Times New Roman" w:cs="Times New Roman"/>
          <w:iCs/>
          <w:sz w:val="24"/>
          <w:szCs w:val="24"/>
        </w:rPr>
        <w:t xml:space="preserve"> di estinzione del procedimento e allegare il provvedimento di estinzione all’accordo; (ii) qualora l’udienza presidenziale si sia già tenuta il decreto di estinzione si otterrà a seguito elle reciproche rinunce ed accettazioni depositate telematicamente.</w:t>
      </w:r>
    </w:p>
    <w:p w14:paraId="118CFB1D" w14:textId="7392B923" w:rsidR="0062466A" w:rsidRPr="008B53E8" w:rsidRDefault="0062466A" w:rsidP="00557425">
      <w:pPr>
        <w:pStyle w:val="Paragrafoelenco"/>
        <w:spacing w:before="100" w:beforeAutospacing="1" w:after="0" w:line="240" w:lineRule="auto"/>
        <w:jc w:val="both"/>
        <w:rPr>
          <w:rFonts w:ascii="Times New Roman" w:hAnsi="Times New Roman" w:cs="Times New Roman"/>
          <w:iCs/>
          <w:sz w:val="24"/>
          <w:szCs w:val="24"/>
        </w:rPr>
      </w:pPr>
      <w:r w:rsidRPr="008B53E8">
        <w:rPr>
          <w:rFonts w:ascii="Times New Roman" w:hAnsi="Times New Roman" w:cs="Times New Roman"/>
          <w:iCs/>
          <w:sz w:val="24"/>
          <w:szCs w:val="24"/>
        </w:rPr>
        <w:t xml:space="preserve">B – DIVORZIO : il </w:t>
      </w:r>
      <w:r w:rsidR="001B0880" w:rsidRPr="008B53E8">
        <w:rPr>
          <w:rFonts w:ascii="Times New Roman" w:hAnsi="Times New Roman" w:cs="Times New Roman"/>
          <w:iCs/>
          <w:sz w:val="24"/>
          <w:szCs w:val="24"/>
        </w:rPr>
        <w:t>procedimento</w:t>
      </w:r>
      <w:r w:rsidRPr="008B53E8">
        <w:rPr>
          <w:rFonts w:ascii="Times New Roman" w:hAnsi="Times New Roman" w:cs="Times New Roman"/>
          <w:iCs/>
          <w:sz w:val="24"/>
          <w:szCs w:val="24"/>
        </w:rPr>
        <w:t xml:space="preserve"> di cui sopra vale ovviamente anche nel caso di divorzio ma quel che è più interessante è la </w:t>
      </w:r>
      <w:r w:rsidR="001B0880" w:rsidRPr="008B53E8">
        <w:rPr>
          <w:rFonts w:ascii="Times New Roman" w:hAnsi="Times New Roman" w:cs="Times New Roman"/>
          <w:iCs/>
          <w:sz w:val="24"/>
          <w:szCs w:val="24"/>
        </w:rPr>
        <w:t>possibilità</w:t>
      </w:r>
      <w:r w:rsidRPr="008B53E8">
        <w:rPr>
          <w:rFonts w:ascii="Times New Roman" w:hAnsi="Times New Roman" w:cs="Times New Roman"/>
          <w:iCs/>
          <w:sz w:val="24"/>
          <w:szCs w:val="24"/>
        </w:rPr>
        <w:t xml:space="preserve"> di  pervenire </w:t>
      </w:r>
      <w:r w:rsidR="001B0880" w:rsidRPr="008B53E8">
        <w:rPr>
          <w:rFonts w:ascii="Times New Roman" w:hAnsi="Times New Roman" w:cs="Times New Roman"/>
          <w:iCs/>
          <w:sz w:val="24"/>
          <w:szCs w:val="24"/>
        </w:rPr>
        <w:t>ad una definizione globale del contenzioso tra le parti attraverso la sottoscrizione de</w:t>
      </w:r>
      <w:r w:rsidRPr="008B53E8">
        <w:rPr>
          <w:rFonts w:ascii="Times New Roman" w:hAnsi="Times New Roman" w:cs="Times New Roman"/>
          <w:iCs/>
          <w:sz w:val="24"/>
          <w:szCs w:val="24"/>
        </w:rPr>
        <w:t xml:space="preserve">ll’accordo divorzile con la N.A. in pendenza del giudizio di separazione </w:t>
      </w:r>
      <w:r w:rsidR="00D00A09" w:rsidRPr="008B53E8">
        <w:rPr>
          <w:rFonts w:ascii="Times New Roman" w:hAnsi="Times New Roman" w:cs="Times New Roman"/>
          <w:iCs/>
          <w:sz w:val="24"/>
          <w:szCs w:val="24"/>
        </w:rPr>
        <w:t>.</w:t>
      </w:r>
    </w:p>
    <w:p w14:paraId="15B84672" w14:textId="6DE42609" w:rsidR="006B0BBE" w:rsidRPr="008B53E8" w:rsidRDefault="00610300" w:rsidP="006B0BBE">
      <w:pPr>
        <w:pStyle w:val="Paragrafoelenco"/>
        <w:numPr>
          <w:ilvl w:val="0"/>
          <w:numId w:val="21"/>
        </w:numPr>
        <w:spacing w:before="100" w:beforeAutospacing="1" w:after="0" w:line="240" w:lineRule="auto"/>
        <w:jc w:val="both"/>
        <w:rPr>
          <w:rFonts w:ascii="Times New Roman" w:hAnsi="Times New Roman" w:cs="Times New Roman"/>
          <w:b/>
          <w:sz w:val="24"/>
          <w:szCs w:val="24"/>
        </w:rPr>
      </w:pPr>
      <w:r w:rsidRPr="008B53E8">
        <w:rPr>
          <w:rFonts w:ascii="Times New Roman" w:hAnsi="Times New Roman" w:cs="Times New Roman"/>
          <w:b/>
          <w:sz w:val="24"/>
          <w:szCs w:val="24"/>
        </w:rPr>
        <w:t>Assistenza delle parti</w:t>
      </w:r>
    </w:p>
    <w:p w14:paraId="30022E22" w14:textId="2E132CB0" w:rsidR="00657BB3" w:rsidRPr="008B53E8" w:rsidRDefault="00EA6D74" w:rsidP="005175BB">
      <w:pPr>
        <w:pStyle w:val="Paragrafoelenco"/>
        <w:spacing w:before="100" w:beforeAutospacing="1" w:after="0" w:line="240" w:lineRule="auto"/>
        <w:jc w:val="both"/>
        <w:rPr>
          <w:rFonts w:ascii="Times New Roman" w:hAnsi="Times New Roman" w:cs="Times New Roman"/>
          <w:sz w:val="24"/>
          <w:szCs w:val="24"/>
        </w:rPr>
      </w:pPr>
      <w:r w:rsidRPr="008B53E8">
        <w:rPr>
          <w:rFonts w:ascii="Times New Roman" w:hAnsi="Times New Roman" w:cs="Times New Roman"/>
          <w:sz w:val="24"/>
          <w:szCs w:val="24"/>
        </w:rPr>
        <w:t xml:space="preserve">Riguardo all’assistenza </w:t>
      </w:r>
      <w:r w:rsidR="00657BB3" w:rsidRPr="008B53E8">
        <w:rPr>
          <w:rFonts w:ascii="Times New Roman" w:hAnsi="Times New Roman" w:cs="Times New Roman"/>
          <w:sz w:val="24"/>
          <w:szCs w:val="24"/>
        </w:rPr>
        <w:t>fermo restando che</w:t>
      </w:r>
      <w:r w:rsidR="00206AD0" w:rsidRPr="008B53E8">
        <w:rPr>
          <w:rFonts w:ascii="Times New Roman" w:hAnsi="Times New Roman" w:cs="Times New Roman"/>
          <w:sz w:val="24"/>
          <w:szCs w:val="24"/>
        </w:rPr>
        <w:t xml:space="preserve"> l</w:t>
      </w:r>
      <w:r w:rsidR="00610300" w:rsidRPr="008B53E8">
        <w:rPr>
          <w:rFonts w:ascii="Times New Roman" w:hAnsi="Times New Roman" w:cs="Times New Roman"/>
          <w:sz w:val="24"/>
          <w:szCs w:val="24"/>
        </w:rPr>
        <w:t xml:space="preserve">e parti </w:t>
      </w:r>
      <w:r w:rsidR="00657BB3" w:rsidRPr="008B53E8">
        <w:rPr>
          <w:rFonts w:ascii="Times New Roman" w:hAnsi="Times New Roman" w:cs="Times New Roman"/>
          <w:sz w:val="24"/>
          <w:szCs w:val="24"/>
        </w:rPr>
        <w:t xml:space="preserve">NON </w:t>
      </w:r>
      <w:r w:rsidR="00610300" w:rsidRPr="008B53E8">
        <w:rPr>
          <w:rFonts w:ascii="Times New Roman" w:hAnsi="Times New Roman" w:cs="Times New Roman"/>
          <w:sz w:val="24"/>
          <w:szCs w:val="24"/>
        </w:rPr>
        <w:t>possono essere assistite da un unico avvocato</w:t>
      </w:r>
      <w:r w:rsidR="00657BB3" w:rsidRPr="008B53E8">
        <w:rPr>
          <w:rFonts w:ascii="Times New Roman" w:hAnsi="Times New Roman" w:cs="Times New Roman"/>
          <w:sz w:val="24"/>
          <w:szCs w:val="24"/>
        </w:rPr>
        <w:t>, ci si chiede</w:t>
      </w:r>
      <w:r w:rsidR="00A3372D" w:rsidRPr="008B53E8">
        <w:rPr>
          <w:rFonts w:ascii="Times New Roman" w:hAnsi="Times New Roman" w:cs="Times New Roman"/>
          <w:sz w:val="24"/>
          <w:szCs w:val="24"/>
        </w:rPr>
        <w:t>, ed in proposito le diverse Procure potrebbero dare pareri differenti</w:t>
      </w:r>
      <w:r w:rsidR="00EB2E99" w:rsidRPr="008B53E8">
        <w:rPr>
          <w:rFonts w:ascii="Times New Roman" w:hAnsi="Times New Roman" w:cs="Times New Roman"/>
          <w:sz w:val="24"/>
          <w:szCs w:val="24"/>
        </w:rPr>
        <w:t>:</w:t>
      </w:r>
    </w:p>
    <w:p w14:paraId="7126DB06" w14:textId="183E0BA7" w:rsidR="00657BB3" w:rsidRPr="008B53E8" w:rsidRDefault="00657BB3" w:rsidP="00EB2E99">
      <w:pPr>
        <w:pStyle w:val="Paragrafoelenco"/>
        <w:numPr>
          <w:ilvl w:val="0"/>
          <w:numId w:val="22"/>
        </w:numPr>
        <w:spacing w:before="100" w:beforeAutospacing="1" w:after="0" w:line="240" w:lineRule="auto"/>
        <w:jc w:val="both"/>
        <w:rPr>
          <w:rFonts w:ascii="Times New Roman" w:hAnsi="Times New Roman" w:cs="Times New Roman"/>
          <w:sz w:val="24"/>
          <w:szCs w:val="24"/>
        </w:rPr>
      </w:pPr>
      <w:r w:rsidRPr="008B53E8">
        <w:rPr>
          <w:rFonts w:ascii="Times New Roman" w:hAnsi="Times New Roman" w:cs="Times New Roman"/>
          <w:sz w:val="24"/>
          <w:szCs w:val="24"/>
        </w:rPr>
        <w:t>S</w:t>
      </w:r>
      <w:r w:rsidR="00206AD0" w:rsidRPr="008B53E8">
        <w:rPr>
          <w:rFonts w:ascii="Times New Roman" w:hAnsi="Times New Roman" w:cs="Times New Roman"/>
          <w:sz w:val="24"/>
          <w:szCs w:val="24"/>
        </w:rPr>
        <w:t>e u</w:t>
      </w:r>
      <w:r w:rsidR="00610300" w:rsidRPr="008B53E8">
        <w:rPr>
          <w:rFonts w:ascii="Times New Roman" w:hAnsi="Times New Roman" w:cs="Times New Roman"/>
          <w:sz w:val="24"/>
          <w:szCs w:val="24"/>
        </w:rPr>
        <w:t>n avvocato può assistere sé stesso nell'accordo</w:t>
      </w:r>
      <w:r w:rsidR="00EB2E99" w:rsidRPr="008B53E8">
        <w:rPr>
          <w:rFonts w:ascii="Times New Roman" w:hAnsi="Times New Roman" w:cs="Times New Roman"/>
          <w:sz w:val="24"/>
          <w:szCs w:val="24"/>
        </w:rPr>
        <w:t xml:space="preserve"> (NO secondo la Procura di Roma)</w:t>
      </w:r>
      <w:r w:rsidR="00206AD0" w:rsidRPr="008B53E8">
        <w:rPr>
          <w:rFonts w:ascii="Times New Roman" w:hAnsi="Times New Roman" w:cs="Times New Roman"/>
          <w:sz w:val="24"/>
          <w:szCs w:val="24"/>
        </w:rPr>
        <w:t xml:space="preserve"> </w:t>
      </w:r>
    </w:p>
    <w:p w14:paraId="678C0FAA" w14:textId="7C9B091C" w:rsidR="00657BB3" w:rsidRPr="008B53E8" w:rsidRDefault="00206AD0" w:rsidP="00EB2E99">
      <w:pPr>
        <w:pStyle w:val="Paragrafoelenco"/>
        <w:numPr>
          <w:ilvl w:val="0"/>
          <w:numId w:val="22"/>
        </w:numPr>
        <w:spacing w:before="100" w:beforeAutospacing="1" w:after="0" w:line="240" w:lineRule="auto"/>
        <w:jc w:val="both"/>
        <w:rPr>
          <w:rFonts w:ascii="Times New Roman" w:hAnsi="Times New Roman" w:cs="Times New Roman"/>
          <w:sz w:val="24"/>
          <w:szCs w:val="24"/>
        </w:rPr>
      </w:pPr>
      <w:r w:rsidRPr="008B53E8">
        <w:rPr>
          <w:rFonts w:ascii="Times New Roman" w:hAnsi="Times New Roman" w:cs="Times New Roman"/>
          <w:sz w:val="24"/>
          <w:szCs w:val="24"/>
        </w:rPr>
        <w:t>Se d</w:t>
      </w:r>
      <w:r w:rsidR="00610300" w:rsidRPr="008B53E8">
        <w:rPr>
          <w:rFonts w:ascii="Times New Roman" w:hAnsi="Times New Roman" w:cs="Times New Roman"/>
          <w:sz w:val="24"/>
          <w:szCs w:val="24"/>
        </w:rPr>
        <w:t xml:space="preserve">ue avvocati associati </w:t>
      </w:r>
      <w:r w:rsidR="00757E6E" w:rsidRPr="008B53E8">
        <w:rPr>
          <w:rFonts w:ascii="Times New Roman" w:hAnsi="Times New Roman" w:cs="Times New Roman"/>
          <w:sz w:val="24"/>
          <w:szCs w:val="24"/>
        </w:rPr>
        <w:t xml:space="preserve">ovvero che esercitano nello stesso studio </w:t>
      </w:r>
      <w:r w:rsidR="00610300" w:rsidRPr="008B53E8">
        <w:rPr>
          <w:rFonts w:ascii="Times New Roman" w:hAnsi="Times New Roman" w:cs="Times New Roman"/>
          <w:sz w:val="24"/>
          <w:szCs w:val="24"/>
        </w:rPr>
        <w:t xml:space="preserve">possono assistere i due </w:t>
      </w:r>
      <w:proofErr w:type="spellStart"/>
      <w:r w:rsidR="00610300" w:rsidRPr="008B53E8">
        <w:rPr>
          <w:rFonts w:ascii="Times New Roman" w:hAnsi="Times New Roman" w:cs="Times New Roman"/>
          <w:sz w:val="24"/>
          <w:szCs w:val="24"/>
        </w:rPr>
        <w:t>separandi</w:t>
      </w:r>
      <w:proofErr w:type="spellEnd"/>
      <w:r w:rsidR="00610300" w:rsidRPr="008B53E8">
        <w:rPr>
          <w:rFonts w:ascii="Times New Roman" w:hAnsi="Times New Roman" w:cs="Times New Roman"/>
          <w:sz w:val="24"/>
          <w:szCs w:val="24"/>
        </w:rPr>
        <w:t>/divorziandi</w:t>
      </w:r>
      <w:r w:rsidR="00A3372D" w:rsidRPr="008B53E8">
        <w:rPr>
          <w:rFonts w:ascii="Times New Roman" w:hAnsi="Times New Roman" w:cs="Times New Roman"/>
          <w:sz w:val="24"/>
          <w:szCs w:val="24"/>
        </w:rPr>
        <w:t xml:space="preserve"> (SI per la Procura di Roma</w:t>
      </w:r>
      <w:r w:rsidR="00757E6E" w:rsidRPr="008B53E8">
        <w:rPr>
          <w:rFonts w:ascii="Times New Roman" w:hAnsi="Times New Roman" w:cs="Times New Roman"/>
          <w:sz w:val="24"/>
          <w:szCs w:val="24"/>
        </w:rPr>
        <w:t>, NO per la Procura di Tivoli</w:t>
      </w:r>
      <w:r w:rsidR="00A3372D" w:rsidRPr="008B53E8">
        <w:rPr>
          <w:rFonts w:ascii="Times New Roman" w:hAnsi="Times New Roman" w:cs="Times New Roman"/>
          <w:sz w:val="24"/>
          <w:szCs w:val="24"/>
        </w:rPr>
        <w:t>)</w:t>
      </w:r>
      <w:r w:rsidRPr="008B53E8">
        <w:rPr>
          <w:rFonts w:ascii="Times New Roman" w:hAnsi="Times New Roman" w:cs="Times New Roman"/>
          <w:sz w:val="24"/>
          <w:szCs w:val="24"/>
        </w:rPr>
        <w:t xml:space="preserve">. </w:t>
      </w:r>
    </w:p>
    <w:p w14:paraId="70C013A5" w14:textId="77777777" w:rsidR="00657BB3" w:rsidRPr="008B53E8" w:rsidRDefault="00206AD0" w:rsidP="00EB2E99">
      <w:pPr>
        <w:pStyle w:val="Paragrafoelenco"/>
        <w:numPr>
          <w:ilvl w:val="0"/>
          <w:numId w:val="22"/>
        </w:numPr>
        <w:spacing w:before="100" w:beforeAutospacing="1" w:after="0" w:line="240" w:lineRule="auto"/>
        <w:jc w:val="both"/>
        <w:rPr>
          <w:rFonts w:ascii="Times New Roman" w:hAnsi="Times New Roman" w:cs="Times New Roman"/>
          <w:sz w:val="24"/>
          <w:szCs w:val="24"/>
        </w:rPr>
      </w:pPr>
      <w:r w:rsidRPr="008B53E8">
        <w:rPr>
          <w:rFonts w:ascii="Times New Roman" w:hAnsi="Times New Roman" w:cs="Times New Roman"/>
          <w:sz w:val="24"/>
          <w:szCs w:val="24"/>
        </w:rPr>
        <w:t>Se l</w:t>
      </w:r>
      <w:r w:rsidR="00610300" w:rsidRPr="008B53E8">
        <w:rPr>
          <w:rFonts w:ascii="Times New Roman" w:hAnsi="Times New Roman" w:cs="Times New Roman"/>
          <w:sz w:val="24"/>
          <w:szCs w:val="24"/>
        </w:rPr>
        <w:t xml:space="preserve">'unico avvocato della separazione in </w:t>
      </w:r>
      <w:r w:rsidR="005175BB" w:rsidRPr="008B53E8">
        <w:rPr>
          <w:rFonts w:ascii="Times New Roman" w:hAnsi="Times New Roman" w:cs="Times New Roman"/>
          <w:sz w:val="24"/>
          <w:szCs w:val="24"/>
        </w:rPr>
        <w:t>Tribunale</w:t>
      </w:r>
      <w:r w:rsidR="00610300" w:rsidRPr="008B53E8">
        <w:rPr>
          <w:rFonts w:ascii="Times New Roman" w:hAnsi="Times New Roman" w:cs="Times New Roman"/>
          <w:sz w:val="24"/>
          <w:szCs w:val="24"/>
        </w:rPr>
        <w:t xml:space="preserve"> può assistere una parte in caso di modifica o divorzi</w:t>
      </w:r>
      <w:r w:rsidR="00657BB3" w:rsidRPr="008B53E8">
        <w:rPr>
          <w:rFonts w:ascii="Times New Roman" w:hAnsi="Times New Roman" w:cs="Times New Roman"/>
          <w:sz w:val="24"/>
          <w:szCs w:val="24"/>
        </w:rPr>
        <w:t>o in N.A.</w:t>
      </w:r>
    </w:p>
    <w:p w14:paraId="649427FF" w14:textId="285D82D2" w:rsidR="00610300" w:rsidRPr="008B53E8" w:rsidRDefault="00A3372D" w:rsidP="00EB2E99">
      <w:pPr>
        <w:pStyle w:val="Paragrafoelenco"/>
        <w:numPr>
          <w:ilvl w:val="0"/>
          <w:numId w:val="22"/>
        </w:numPr>
        <w:spacing w:before="100" w:beforeAutospacing="1" w:after="0" w:line="240" w:lineRule="auto"/>
        <w:jc w:val="both"/>
        <w:rPr>
          <w:rFonts w:ascii="Times New Roman" w:hAnsi="Times New Roman" w:cs="Times New Roman"/>
          <w:b/>
          <w:sz w:val="24"/>
          <w:szCs w:val="24"/>
        </w:rPr>
      </w:pPr>
      <w:r w:rsidRPr="008B53E8">
        <w:rPr>
          <w:rFonts w:ascii="Times New Roman" w:hAnsi="Times New Roman" w:cs="Times New Roman"/>
          <w:sz w:val="24"/>
          <w:szCs w:val="24"/>
        </w:rPr>
        <w:lastRenderedPageBreak/>
        <w:t>S</w:t>
      </w:r>
      <w:r w:rsidR="00206AD0" w:rsidRPr="008B53E8">
        <w:rPr>
          <w:rFonts w:ascii="Times New Roman" w:hAnsi="Times New Roman" w:cs="Times New Roman"/>
          <w:sz w:val="24"/>
          <w:szCs w:val="24"/>
        </w:rPr>
        <w:t xml:space="preserve">e </w:t>
      </w:r>
      <w:r w:rsidR="00657BB3" w:rsidRPr="008B53E8">
        <w:rPr>
          <w:rFonts w:ascii="Times New Roman" w:hAnsi="Times New Roman" w:cs="Times New Roman"/>
          <w:sz w:val="24"/>
          <w:szCs w:val="24"/>
        </w:rPr>
        <w:t>l</w:t>
      </w:r>
      <w:r w:rsidR="0071575E" w:rsidRPr="008B53E8">
        <w:rPr>
          <w:rFonts w:ascii="Times New Roman" w:hAnsi="Times New Roman" w:cs="Times New Roman"/>
          <w:sz w:val="24"/>
          <w:szCs w:val="24"/>
        </w:rPr>
        <w:t>a</w:t>
      </w:r>
      <w:r w:rsidR="002A74B5" w:rsidRPr="008B53E8">
        <w:rPr>
          <w:rFonts w:ascii="Times New Roman" w:hAnsi="Times New Roman" w:cs="Times New Roman"/>
          <w:sz w:val="24"/>
          <w:szCs w:val="24"/>
        </w:rPr>
        <w:t xml:space="preserve"> </w:t>
      </w:r>
      <w:r w:rsidR="004B2FA9" w:rsidRPr="008B53E8">
        <w:rPr>
          <w:rFonts w:ascii="Times New Roman" w:hAnsi="Times New Roman" w:cs="Times New Roman"/>
          <w:sz w:val="24"/>
          <w:szCs w:val="24"/>
        </w:rPr>
        <w:t>parte</w:t>
      </w:r>
      <w:r w:rsidR="00EB2E99" w:rsidRPr="008B53E8">
        <w:rPr>
          <w:rFonts w:ascii="Times New Roman" w:hAnsi="Times New Roman" w:cs="Times New Roman"/>
          <w:sz w:val="24"/>
          <w:szCs w:val="24"/>
        </w:rPr>
        <w:t xml:space="preserve"> residente all’estero</w:t>
      </w:r>
      <w:r w:rsidRPr="008B53E8">
        <w:rPr>
          <w:rFonts w:ascii="Times New Roman" w:hAnsi="Times New Roman" w:cs="Times New Roman"/>
          <w:sz w:val="24"/>
          <w:szCs w:val="24"/>
        </w:rPr>
        <w:t>, ristretta in carcere od altrimenti impedita</w:t>
      </w:r>
      <w:r w:rsidR="00EB2E99" w:rsidRPr="008B53E8">
        <w:rPr>
          <w:rFonts w:ascii="Times New Roman" w:hAnsi="Times New Roman" w:cs="Times New Roman"/>
          <w:sz w:val="24"/>
          <w:szCs w:val="24"/>
        </w:rPr>
        <w:t xml:space="preserve"> possa </w:t>
      </w:r>
      <w:r w:rsidR="004B2FA9" w:rsidRPr="008B53E8">
        <w:rPr>
          <w:rFonts w:ascii="Times New Roman" w:hAnsi="Times New Roman" w:cs="Times New Roman"/>
          <w:sz w:val="24"/>
          <w:szCs w:val="24"/>
        </w:rPr>
        <w:t xml:space="preserve"> delegare</w:t>
      </w:r>
      <w:r w:rsidR="00657BB3" w:rsidRPr="008B53E8">
        <w:rPr>
          <w:rFonts w:ascii="Times New Roman" w:hAnsi="Times New Roman" w:cs="Times New Roman"/>
          <w:sz w:val="24"/>
          <w:szCs w:val="24"/>
        </w:rPr>
        <w:t xml:space="preserve"> - con le dovute forme -</w:t>
      </w:r>
      <w:r w:rsidR="004B2FA9" w:rsidRPr="008B53E8">
        <w:rPr>
          <w:rFonts w:ascii="Times New Roman" w:hAnsi="Times New Roman" w:cs="Times New Roman"/>
          <w:sz w:val="24"/>
          <w:szCs w:val="24"/>
        </w:rPr>
        <w:t xml:space="preserve"> una terza persona</w:t>
      </w:r>
      <w:r w:rsidR="000553DA" w:rsidRPr="008B53E8">
        <w:rPr>
          <w:rFonts w:ascii="Times New Roman" w:hAnsi="Times New Roman" w:cs="Times New Roman"/>
          <w:sz w:val="24"/>
          <w:szCs w:val="24"/>
        </w:rPr>
        <w:t xml:space="preserve"> a condurre le trattative e/o sottoscrivere l’accordo</w:t>
      </w:r>
      <w:r w:rsidR="00757E6E" w:rsidRPr="008B53E8">
        <w:rPr>
          <w:rFonts w:ascii="Times New Roman" w:hAnsi="Times New Roman" w:cs="Times New Roman"/>
          <w:sz w:val="24"/>
          <w:szCs w:val="24"/>
        </w:rPr>
        <w:t xml:space="preserve"> (SI per la Procura di Roma) </w:t>
      </w:r>
      <w:r w:rsidR="00206AD0" w:rsidRPr="008B53E8">
        <w:rPr>
          <w:rFonts w:ascii="Times New Roman" w:hAnsi="Times New Roman" w:cs="Times New Roman"/>
          <w:sz w:val="24"/>
          <w:szCs w:val="24"/>
        </w:rPr>
        <w:t>.</w:t>
      </w:r>
    </w:p>
    <w:p w14:paraId="442C5FB5" w14:textId="113D1726" w:rsidR="00557425" w:rsidRPr="008E3E5C" w:rsidRDefault="00557425" w:rsidP="00557425">
      <w:pPr>
        <w:spacing w:before="100" w:beforeAutospacing="1" w:after="0" w:line="240" w:lineRule="auto"/>
        <w:ind w:firstLine="708"/>
        <w:jc w:val="both"/>
        <w:rPr>
          <w:rFonts w:ascii="Times New Roman" w:hAnsi="Times New Roman" w:cs="Times New Roman"/>
          <w:sz w:val="24"/>
          <w:szCs w:val="24"/>
        </w:rPr>
      </w:pPr>
      <w:r w:rsidRPr="008E3E5C">
        <w:rPr>
          <w:rFonts w:ascii="Times New Roman" w:hAnsi="Times New Roman" w:cs="Times New Roman"/>
          <w:sz w:val="24"/>
          <w:szCs w:val="24"/>
        </w:rPr>
        <w:t>Sarebbe</w:t>
      </w:r>
      <w:r w:rsidR="00A52A97">
        <w:rPr>
          <w:rFonts w:ascii="Times New Roman" w:hAnsi="Times New Roman" w:cs="Times New Roman"/>
          <w:sz w:val="24"/>
          <w:szCs w:val="24"/>
        </w:rPr>
        <w:t xml:space="preserve"> </w:t>
      </w:r>
      <w:r w:rsidRPr="008E3E5C">
        <w:rPr>
          <w:rFonts w:ascii="Times New Roman" w:hAnsi="Times New Roman" w:cs="Times New Roman"/>
          <w:sz w:val="24"/>
          <w:szCs w:val="24"/>
        </w:rPr>
        <w:t xml:space="preserve">opportuno procedere ad un monitoraggio </w:t>
      </w:r>
      <w:r w:rsidR="00A52A97">
        <w:rPr>
          <w:rFonts w:ascii="Times New Roman" w:hAnsi="Times New Roman" w:cs="Times New Roman"/>
          <w:sz w:val="24"/>
          <w:szCs w:val="24"/>
        </w:rPr>
        <w:t>delle</w:t>
      </w:r>
      <w:r w:rsidR="00A52A97" w:rsidRPr="008E3E5C">
        <w:rPr>
          <w:rFonts w:ascii="Times New Roman" w:hAnsi="Times New Roman" w:cs="Times New Roman"/>
          <w:sz w:val="24"/>
          <w:szCs w:val="24"/>
        </w:rPr>
        <w:t xml:space="preserve"> procedur</w:t>
      </w:r>
      <w:r w:rsidR="00A52A97">
        <w:rPr>
          <w:rFonts w:ascii="Times New Roman" w:hAnsi="Times New Roman" w:cs="Times New Roman"/>
          <w:sz w:val="24"/>
          <w:szCs w:val="24"/>
        </w:rPr>
        <w:t>e</w:t>
      </w:r>
      <w:r w:rsidR="00A52A97" w:rsidRPr="008E3E5C">
        <w:rPr>
          <w:rFonts w:ascii="Times New Roman" w:hAnsi="Times New Roman" w:cs="Times New Roman"/>
          <w:sz w:val="24"/>
          <w:szCs w:val="24"/>
        </w:rPr>
        <w:t xml:space="preserve"> di separazione o divorzio dinanzi all'ufficiale di Stato Civile </w:t>
      </w:r>
      <w:r w:rsidRPr="008E3E5C">
        <w:rPr>
          <w:rFonts w:ascii="Times New Roman" w:hAnsi="Times New Roman" w:cs="Times New Roman"/>
          <w:sz w:val="24"/>
          <w:szCs w:val="24"/>
        </w:rPr>
        <w:t>per valutarne l’incidenza rispetto al numero complessivo delle negoziazioni assistite in materia di famiglia.</w:t>
      </w:r>
      <w:r w:rsidR="00757E6E">
        <w:rPr>
          <w:rFonts w:ascii="Times New Roman" w:hAnsi="Times New Roman" w:cs="Times New Roman"/>
          <w:sz w:val="24"/>
          <w:szCs w:val="24"/>
        </w:rPr>
        <w:t xml:space="preserve"> </w:t>
      </w:r>
    </w:p>
    <w:p w14:paraId="12A05CCA" w14:textId="19071927" w:rsidR="00557425" w:rsidRDefault="00557425" w:rsidP="006B0BBE">
      <w:pPr>
        <w:spacing w:before="100" w:beforeAutospacing="1" w:after="0" w:line="240" w:lineRule="auto"/>
        <w:ind w:firstLine="708"/>
        <w:jc w:val="both"/>
        <w:rPr>
          <w:rFonts w:ascii="Times New Roman" w:hAnsi="Times New Roman" w:cs="Times New Roman"/>
          <w:sz w:val="24"/>
          <w:szCs w:val="24"/>
        </w:rPr>
      </w:pPr>
      <w:r w:rsidRPr="008E3E5C">
        <w:rPr>
          <w:rFonts w:ascii="Times New Roman" w:hAnsi="Times New Roman" w:cs="Times New Roman"/>
          <w:bCs/>
          <w:sz w:val="24"/>
          <w:szCs w:val="24"/>
        </w:rPr>
        <w:t xml:space="preserve">Sebbene si tratti di una questione </w:t>
      </w:r>
      <w:r w:rsidRPr="008E3E5C">
        <w:rPr>
          <w:rFonts w:ascii="Times New Roman" w:hAnsi="Times New Roman" w:cs="Times New Roman"/>
          <w:bCs/>
          <w:i/>
          <w:sz w:val="24"/>
          <w:szCs w:val="24"/>
        </w:rPr>
        <w:t>de iure condendo</w:t>
      </w:r>
      <w:r>
        <w:rPr>
          <w:rFonts w:ascii="Times New Roman" w:hAnsi="Times New Roman" w:cs="Times New Roman"/>
          <w:bCs/>
          <w:sz w:val="24"/>
          <w:szCs w:val="24"/>
        </w:rPr>
        <w:t xml:space="preserve">, e </w:t>
      </w:r>
      <w:r w:rsidR="00532E9D">
        <w:rPr>
          <w:rFonts w:ascii="Times New Roman" w:hAnsi="Times New Roman" w:cs="Times New Roman"/>
          <w:bCs/>
          <w:sz w:val="24"/>
          <w:szCs w:val="24"/>
        </w:rPr>
        <w:t xml:space="preserve">dunque </w:t>
      </w:r>
      <w:r>
        <w:rPr>
          <w:rFonts w:ascii="Times New Roman" w:hAnsi="Times New Roman" w:cs="Times New Roman"/>
          <w:bCs/>
          <w:sz w:val="24"/>
          <w:szCs w:val="24"/>
        </w:rPr>
        <w:t>non concernente le buone prassi</w:t>
      </w:r>
      <w:r w:rsidR="00532E9D">
        <w:rPr>
          <w:rFonts w:ascii="Times New Roman" w:hAnsi="Times New Roman" w:cs="Times New Roman"/>
          <w:bCs/>
          <w:sz w:val="24"/>
          <w:szCs w:val="24"/>
        </w:rPr>
        <w:t xml:space="preserve"> degli Osservatori</w:t>
      </w:r>
      <w:r>
        <w:rPr>
          <w:rFonts w:ascii="Times New Roman" w:hAnsi="Times New Roman" w:cs="Times New Roman"/>
          <w:bCs/>
          <w:sz w:val="24"/>
          <w:szCs w:val="24"/>
        </w:rPr>
        <w:t xml:space="preserve">, </w:t>
      </w:r>
      <w:r w:rsidRPr="008E3E5C">
        <w:rPr>
          <w:rFonts w:ascii="Times New Roman" w:hAnsi="Times New Roman" w:cs="Times New Roman"/>
          <w:sz w:val="24"/>
          <w:szCs w:val="24"/>
        </w:rPr>
        <w:t xml:space="preserve">si sottolinea che sarebbe auspicabile l'applicazione della procedura di negoziazione </w:t>
      </w:r>
      <w:r w:rsidR="00152292">
        <w:rPr>
          <w:rFonts w:ascii="Times New Roman" w:hAnsi="Times New Roman" w:cs="Times New Roman"/>
          <w:sz w:val="24"/>
          <w:szCs w:val="24"/>
        </w:rPr>
        <w:t xml:space="preserve">assistita anche alle coppie </w:t>
      </w:r>
      <w:r w:rsidR="00532E9D">
        <w:rPr>
          <w:rFonts w:ascii="Times New Roman" w:hAnsi="Times New Roman" w:cs="Times New Roman"/>
          <w:sz w:val="24"/>
          <w:szCs w:val="24"/>
        </w:rPr>
        <w:t>di fatto</w:t>
      </w:r>
      <w:r w:rsidRPr="008E3E5C">
        <w:rPr>
          <w:rFonts w:ascii="Times New Roman" w:hAnsi="Times New Roman" w:cs="Times New Roman"/>
          <w:sz w:val="24"/>
          <w:szCs w:val="24"/>
        </w:rPr>
        <w:t>, con trasmissione dell'accordo al P.M.</w:t>
      </w:r>
      <w:r w:rsidR="00152292">
        <w:rPr>
          <w:rFonts w:ascii="Times New Roman" w:hAnsi="Times New Roman" w:cs="Times New Roman"/>
          <w:sz w:val="24"/>
          <w:szCs w:val="24"/>
        </w:rPr>
        <w:t xml:space="preserve"> -</w:t>
      </w:r>
      <w:r w:rsidRPr="008E3E5C">
        <w:rPr>
          <w:rFonts w:ascii="Times New Roman" w:hAnsi="Times New Roman" w:cs="Times New Roman"/>
          <w:sz w:val="24"/>
          <w:szCs w:val="24"/>
        </w:rPr>
        <w:t xml:space="preserve"> ovviamente senza trasmissione  all’ufficio dello stato civile</w:t>
      </w:r>
      <w:r w:rsidR="00152292">
        <w:rPr>
          <w:rFonts w:ascii="Times New Roman" w:hAnsi="Times New Roman" w:cs="Times New Roman"/>
          <w:sz w:val="24"/>
          <w:szCs w:val="24"/>
        </w:rPr>
        <w:t xml:space="preserve"> - </w:t>
      </w:r>
      <w:r w:rsidRPr="008E3E5C">
        <w:rPr>
          <w:rFonts w:ascii="Times New Roman" w:hAnsi="Times New Roman" w:cs="Times New Roman"/>
          <w:sz w:val="24"/>
          <w:szCs w:val="24"/>
        </w:rPr>
        <w:t xml:space="preserve"> </w:t>
      </w:r>
      <w:proofErr w:type="spellStart"/>
      <w:r w:rsidRPr="008E3E5C">
        <w:rPr>
          <w:rFonts w:ascii="Times New Roman" w:hAnsi="Times New Roman" w:cs="Times New Roman"/>
          <w:sz w:val="24"/>
          <w:szCs w:val="24"/>
        </w:rPr>
        <w:t>poichè</w:t>
      </w:r>
      <w:proofErr w:type="spellEnd"/>
      <w:r w:rsidRPr="008E3E5C">
        <w:rPr>
          <w:rFonts w:ascii="Times New Roman" w:hAnsi="Times New Roman" w:cs="Times New Roman"/>
          <w:sz w:val="24"/>
          <w:szCs w:val="24"/>
        </w:rPr>
        <w:t xml:space="preserve"> non si ravvisa motivo per cui debba esistere disparità di trattamento tra coppie </w:t>
      </w:r>
      <w:r w:rsidR="00532E9D">
        <w:rPr>
          <w:rFonts w:ascii="Times New Roman" w:hAnsi="Times New Roman" w:cs="Times New Roman"/>
          <w:sz w:val="24"/>
          <w:szCs w:val="24"/>
        </w:rPr>
        <w:t>coniugate</w:t>
      </w:r>
      <w:r w:rsidRPr="008E3E5C">
        <w:rPr>
          <w:rFonts w:ascii="Times New Roman" w:hAnsi="Times New Roman" w:cs="Times New Roman"/>
          <w:sz w:val="24"/>
          <w:szCs w:val="24"/>
        </w:rPr>
        <w:t xml:space="preserve"> e non, considerata la completa equiparazione tra figli nati in costanza di matrimonio e quelli nati fuori dal matrimonio.   </w:t>
      </w:r>
    </w:p>
    <w:p w14:paraId="5CDDDAC1" w14:textId="67B3FCAE" w:rsidR="00841D3D" w:rsidRPr="006B0BBE" w:rsidRDefault="00C66E59" w:rsidP="006B0BBE">
      <w:pPr>
        <w:pStyle w:val="Paragrafoelenco"/>
        <w:numPr>
          <w:ilvl w:val="1"/>
          <w:numId w:val="11"/>
        </w:numPr>
        <w:spacing w:before="100" w:beforeAutospacing="1" w:after="0" w:line="240" w:lineRule="auto"/>
        <w:jc w:val="both"/>
        <w:rPr>
          <w:rFonts w:ascii="Times New Roman" w:hAnsi="Times New Roman" w:cs="Times New Roman"/>
          <w:b/>
          <w:sz w:val="24"/>
          <w:szCs w:val="24"/>
        </w:rPr>
      </w:pPr>
      <w:r w:rsidRPr="006B0BBE">
        <w:rPr>
          <w:rFonts w:ascii="Times New Roman" w:hAnsi="Times New Roman" w:cs="Times New Roman"/>
          <w:b/>
          <w:sz w:val="24"/>
          <w:szCs w:val="24"/>
          <w:u w:val="single"/>
        </w:rPr>
        <w:t>Protocollo per la l</w:t>
      </w:r>
      <w:r w:rsidR="002E16A4" w:rsidRPr="006B0BBE">
        <w:rPr>
          <w:rFonts w:ascii="Times New Roman" w:hAnsi="Times New Roman" w:cs="Times New Roman"/>
          <w:b/>
          <w:sz w:val="24"/>
          <w:szCs w:val="24"/>
          <w:u w:val="single"/>
        </w:rPr>
        <w:t>iquidazione dei compensi in caso di ammissione al patrocinio a spese dello Stato</w:t>
      </w:r>
    </w:p>
    <w:p w14:paraId="0D3748BE" w14:textId="77777777" w:rsidR="00874C5C" w:rsidRPr="008A090C" w:rsidRDefault="00874C5C" w:rsidP="00F449B9">
      <w:pPr>
        <w:spacing w:before="100" w:beforeAutospacing="1" w:after="0" w:line="240" w:lineRule="auto"/>
        <w:ind w:firstLine="360"/>
        <w:jc w:val="both"/>
        <w:rPr>
          <w:rFonts w:ascii="Times New Roman" w:hAnsi="Times New Roman" w:cs="Times New Roman"/>
          <w:sz w:val="24"/>
          <w:szCs w:val="24"/>
        </w:rPr>
      </w:pPr>
      <w:r w:rsidRPr="008A090C">
        <w:rPr>
          <w:rFonts w:ascii="Times New Roman" w:hAnsi="Times New Roman" w:cs="Times New Roman"/>
          <w:sz w:val="24"/>
          <w:szCs w:val="24"/>
        </w:rPr>
        <w:t xml:space="preserve">Il ricorso di un numero crescente di cittadini al patrocinio a spese dello Stato pone l’esigenza di rendere efficace il “servizio giustizia” che è offerto attraverso detto istituto sia favorendo la  fruibilità da parte dell’interessato sia assicurando al suo difensore che l’attività svolta sia riconosciuta con tempi e modalità certe.  </w:t>
      </w:r>
    </w:p>
    <w:p w14:paraId="1CEE680F" w14:textId="77777777" w:rsidR="00874C5C" w:rsidRPr="008A090C" w:rsidRDefault="00874C5C" w:rsidP="00874C5C">
      <w:pPr>
        <w:spacing w:before="100" w:beforeAutospacing="1" w:after="0" w:line="240" w:lineRule="auto"/>
        <w:ind w:firstLine="360"/>
        <w:jc w:val="both"/>
        <w:rPr>
          <w:rFonts w:ascii="Times New Roman" w:hAnsi="Times New Roman" w:cs="Times New Roman"/>
          <w:sz w:val="24"/>
          <w:szCs w:val="24"/>
        </w:rPr>
      </w:pPr>
      <w:r w:rsidRPr="008A090C">
        <w:rPr>
          <w:rFonts w:ascii="Times New Roman" w:hAnsi="Times New Roman" w:cs="Times New Roman"/>
          <w:sz w:val="24"/>
          <w:szCs w:val="24"/>
        </w:rPr>
        <w:t xml:space="preserve">E’ evidente, difatti, che l’esigenza di garantire ai non abbienti il diritto di difesa fin dalla scelta dell’avvocato dal quale farsi rappresentare in giudizio possa essere maggiormente salvaguardata qualora i professionisti disponibili ad assumere l’incarico possano confidare in una più puntuale risposta alle aspettative economiche ad esso correlate.  </w:t>
      </w:r>
    </w:p>
    <w:p w14:paraId="011AC26C" w14:textId="77777777" w:rsidR="00874C5C" w:rsidRPr="008A090C" w:rsidRDefault="00874C5C" w:rsidP="00874C5C">
      <w:pPr>
        <w:spacing w:before="100" w:beforeAutospacing="1" w:after="0" w:line="240" w:lineRule="auto"/>
        <w:ind w:firstLine="360"/>
        <w:jc w:val="both"/>
        <w:rPr>
          <w:rFonts w:ascii="Times New Roman" w:hAnsi="Times New Roman" w:cs="Times New Roman"/>
          <w:sz w:val="24"/>
          <w:szCs w:val="24"/>
        </w:rPr>
      </w:pPr>
      <w:r w:rsidRPr="008A090C">
        <w:rPr>
          <w:rFonts w:ascii="Times New Roman" w:hAnsi="Times New Roman" w:cs="Times New Roman"/>
          <w:sz w:val="24"/>
          <w:szCs w:val="24"/>
        </w:rPr>
        <w:t>Si ricorda, a riguardo, che, ai sensi del quarto comma dell’art. 27 dell’Ordinamento Forense, l’ammissibilità al patrocinio dello Stato rappresenta uno dei cd. doveri di informazione posti a carico dell’avvocato  e che l’accoglimento della relativa istanza esonera l’assistito dai costi correlati alla sua difesa.</w:t>
      </w:r>
    </w:p>
    <w:p w14:paraId="3A4208C5" w14:textId="77777777" w:rsidR="00874C5C" w:rsidRPr="008A090C" w:rsidRDefault="00874C5C" w:rsidP="00874C5C">
      <w:pPr>
        <w:spacing w:before="100" w:beforeAutospacing="1" w:after="0" w:line="240" w:lineRule="auto"/>
        <w:ind w:firstLine="360"/>
        <w:jc w:val="both"/>
        <w:rPr>
          <w:rFonts w:ascii="Times New Roman" w:hAnsi="Times New Roman" w:cs="Times New Roman"/>
          <w:sz w:val="24"/>
          <w:szCs w:val="24"/>
        </w:rPr>
      </w:pPr>
      <w:r w:rsidRPr="008A090C">
        <w:rPr>
          <w:rFonts w:ascii="Times New Roman" w:hAnsi="Times New Roman" w:cs="Times New Roman"/>
          <w:sz w:val="24"/>
          <w:szCs w:val="24"/>
        </w:rPr>
        <w:t>Gli interventi normativi che si sono succeduti in tema non hanno risolto alcune criticità che emergono nei procedimenti civili e di volontaria giurisdizione, per i quali l’ammissione al gratuito patrocinio è, peraltro, valida in ogni grado di giudizio e che riguardano, prevalentemente, le attività inerenti la liquidazione e il pagamento delle spettanze professionali.</w:t>
      </w:r>
    </w:p>
    <w:p w14:paraId="6D1280EE" w14:textId="77777777" w:rsidR="00874C5C" w:rsidRPr="008A090C" w:rsidRDefault="00874C5C" w:rsidP="00874C5C">
      <w:pPr>
        <w:spacing w:before="100" w:beforeAutospacing="1" w:after="0" w:line="240" w:lineRule="auto"/>
        <w:ind w:firstLine="360"/>
        <w:jc w:val="both"/>
        <w:rPr>
          <w:rFonts w:ascii="Times New Roman" w:hAnsi="Times New Roman" w:cs="Times New Roman"/>
          <w:sz w:val="24"/>
          <w:szCs w:val="24"/>
        </w:rPr>
      </w:pPr>
      <w:r w:rsidRPr="008A090C">
        <w:rPr>
          <w:rFonts w:ascii="Times New Roman" w:hAnsi="Times New Roman" w:cs="Times New Roman"/>
          <w:sz w:val="24"/>
          <w:szCs w:val="24"/>
        </w:rPr>
        <w:t xml:space="preserve">Al fine di superare in modo propositivo le condizioni di incertezza che, peraltro, non incentivano l’impegno professionale in un ambito di forte rilevanza sociale, alcuni Tribunali hanno adottato criteri orientativi per la liquidazione dei compensi in relazione alle diverse fattispecie di contenzioso. In alcuni casi esaminati, la determinazione di detti criteri è stata raggiunta mediante una condivisione con l’avvocatura, finanche con l’adozione di un protocollo d’intesa. </w:t>
      </w:r>
    </w:p>
    <w:p w14:paraId="5473B3B9" w14:textId="435A41D5" w:rsidR="00874C5C" w:rsidRPr="008A090C" w:rsidRDefault="00841D3D" w:rsidP="00874C5C">
      <w:pPr>
        <w:spacing w:before="100" w:beforeAutospacing="1" w:after="0" w:line="240" w:lineRule="auto"/>
        <w:ind w:firstLine="360"/>
        <w:jc w:val="both"/>
        <w:rPr>
          <w:rFonts w:ascii="Times New Roman" w:hAnsi="Times New Roman" w:cs="Times New Roman"/>
          <w:sz w:val="24"/>
          <w:szCs w:val="24"/>
        </w:rPr>
      </w:pPr>
      <w:r w:rsidRPr="008A090C">
        <w:rPr>
          <w:rFonts w:ascii="Times New Roman" w:hAnsi="Times New Roman" w:cs="Times New Roman"/>
          <w:bCs/>
          <w:sz w:val="24"/>
          <w:szCs w:val="24"/>
        </w:rPr>
        <w:t xml:space="preserve">La Corte di Appello di Roma ha avviato con il </w:t>
      </w:r>
      <w:r w:rsidR="00F449B9">
        <w:rPr>
          <w:rFonts w:ascii="Times New Roman" w:hAnsi="Times New Roman" w:cs="Times New Roman"/>
          <w:bCs/>
          <w:sz w:val="24"/>
          <w:szCs w:val="24"/>
        </w:rPr>
        <w:t>C</w:t>
      </w:r>
      <w:r w:rsidRPr="008A090C">
        <w:rPr>
          <w:rFonts w:ascii="Times New Roman" w:hAnsi="Times New Roman" w:cs="Times New Roman"/>
          <w:bCs/>
          <w:sz w:val="24"/>
          <w:szCs w:val="24"/>
        </w:rPr>
        <w:t xml:space="preserve">onsiglio dell’ordine degli avvocati  di Roma e degli altri tribunali del </w:t>
      </w:r>
      <w:r w:rsidR="00F449B9">
        <w:rPr>
          <w:rFonts w:ascii="Times New Roman" w:hAnsi="Times New Roman" w:cs="Times New Roman"/>
          <w:bCs/>
          <w:sz w:val="24"/>
          <w:szCs w:val="24"/>
        </w:rPr>
        <w:t>d</w:t>
      </w:r>
      <w:r w:rsidRPr="008A090C">
        <w:rPr>
          <w:rFonts w:ascii="Times New Roman" w:hAnsi="Times New Roman" w:cs="Times New Roman"/>
          <w:bCs/>
          <w:sz w:val="24"/>
          <w:szCs w:val="24"/>
        </w:rPr>
        <w:t>istretto i lavori per la redazione di un protocollo per le cause di appello in materia di famiglia e di minori,  ciò sulla scorta dell’esperienza del protocollo per il patrocinio a spese dello stato redatto per il giudizio di appello penale, con la specifica integrazione prevista per il giudizio minorile, in corso di approvazione.</w:t>
      </w:r>
    </w:p>
    <w:p w14:paraId="036A48A8" w14:textId="77777777" w:rsidR="00874C5C" w:rsidRPr="008A090C" w:rsidRDefault="00841D3D" w:rsidP="00874C5C">
      <w:pPr>
        <w:spacing w:before="100" w:beforeAutospacing="1" w:after="0" w:line="240" w:lineRule="auto"/>
        <w:ind w:firstLine="360"/>
        <w:jc w:val="both"/>
        <w:rPr>
          <w:rFonts w:ascii="Times New Roman" w:hAnsi="Times New Roman" w:cs="Times New Roman"/>
          <w:sz w:val="24"/>
          <w:szCs w:val="24"/>
        </w:rPr>
      </w:pPr>
      <w:r w:rsidRPr="008A090C">
        <w:rPr>
          <w:rFonts w:ascii="Times New Roman" w:hAnsi="Times New Roman" w:cs="Times New Roman"/>
          <w:bCs/>
          <w:sz w:val="24"/>
          <w:szCs w:val="24"/>
        </w:rPr>
        <w:lastRenderedPageBreak/>
        <w:t>Questa iniziativa, in linea con gli obiettivi enunciati, si propone di utilizzare la sede distrettuale, non solo per regolare la liquidazione dei difensori nell’ambito del giudizio di appello, ma  anche  per perseguire una finalità di uniformità, che si realizzi con il coinvolgimento dei diversi tribunali del distretto e con il Tribunale per i Minorenni, attraverso la stipula di altrettanti accordi di protocollo.</w:t>
      </w:r>
    </w:p>
    <w:p w14:paraId="37A3C68E" w14:textId="31A01029" w:rsidR="00874C5C" w:rsidRPr="008A090C" w:rsidRDefault="00841D3D" w:rsidP="00874C5C">
      <w:pPr>
        <w:spacing w:before="100" w:beforeAutospacing="1" w:after="0" w:line="240" w:lineRule="auto"/>
        <w:ind w:firstLine="360"/>
        <w:jc w:val="both"/>
        <w:rPr>
          <w:rFonts w:ascii="Times New Roman" w:hAnsi="Times New Roman" w:cs="Times New Roman"/>
          <w:sz w:val="24"/>
          <w:szCs w:val="24"/>
        </w:rPr>
      </w:pPr>
      <w:r w:rsidRPr="00DB57D4">
        <w:rPr>
          <w:rFonts w:ascii="Times New Roman" w:hAnsi="Times New Roman" w:cs="Times New Roman"/>
          <w:bCs/>
          <w:i/>
          <w:sz w:val="24"/>
          <w:szCs w:val="24"/>
        </w:rPr>
        <w:t>De iure condendo</w:t>
      </w:r>
      <w:r w:rsidRPr="008A090C">
        <w:rPr>
          <w:rFonts w:ascii="Times New Roman" w:hAnsi="Times New Roman" w:cs="Times New Roman"/>
          <w:bCs/>
          <w:sz w:val="24"/>
          <w:szCs w:val="24"/>
        </w:rPr>
        <w:t>, il tema del patrocinio a spese dello stato offre l’occasione per riflettere sui costi che derivano agli utenti del  giudizio di famiglia dalla molteplicità dei soggetti processuali, in parte previsti dal codice in parte derivanti dalle prassi virtuose che mirano a potenziare il diritto di difesa e l’effettività delle pronunce nei giudizi relativi alle famiglie e ai minori.</w:t>
      </w:r>
    </w:p>
    <w:p w14:paraId="0F827FFF" w14:textId="77777777" w:rsidR="00874C5C" w:rsidRPr="008A090C" w:rsidRDefault="00841D3D" w:rsidP="00874C5C">
      <w:pPr>
        <w:spacing w:before="100" w:beforeAutospacing="1" w:after="0" w:line="240" w:lineRule="auto"/>
        <w:ind w:firstLine="360"/>
        <w:jc w:val="both"/>
        <w:rPr>
          <w:rFonts w:ascii="Times New Roman" w:hAnsi="Times New Roman" w:cs="Times New Roman"/>
          <w:sz w:val="24"/>
          <w:szCs w:val="24"/>
        </w:rPr>
      </w:pPr>
      <w:r w:rsidRPr="008A090C">
        <w:rPr>
          <w:rFonts w:ascii="Times New Roman" w:hAnsi="Times New Roman" w:cs="Times New Roman"/>
          <w:bCs/>
          <w:sz w:val="24"/>
          <w:szCs w:val="24"/>
        </w:rPr>
        <w:t xml:space="preserve">Si pensi al curatore del minore, in ordine al quale </w:t>
      </w:r>
      <w:r w:rsidRPr="008A090C">
        <w:rPr>
          <w:rFonts w:ascii="Times New Roman" w:hAnsi="Times New Roman" w:cs="Times New Roman"/>
          <w:sz w:val="24"/>
          <w:szCs w:val="24"/>
        </w:rPr>
        <w:t xml:space="preserve">più d’una pronuncia della Corte di Cassazione (Cass., sez. I, 12.11.2018 n. 29001; Cass., sez. I n. 5256 del 2018; Cass., sez. I n. 6644 del 2018) afferma che l’art. 336, ultimo comma, c.c., nel prescrivere che il minore deve essere assistito da un difensore, fa intendere che nei giudizi </w:t>
      </w:r>
      <w:r w:rsidRPr="008A090C">
        <w:rPr>
          <w:rFonts w:ascii="Times New Roman" w:hAnsi="Times New Roman" w:cs="Times New Roman"/>
          <w:i/>
          <w:sz w:val="24"/>
          <w:szCs w:val="24"/>
        </w:rPr>
        <w:t xml:space="preserve">de </w:t>
      </w:r>
      <w:proofErr w:type="spellStart"/>
      <w:r w:rsidRPr="008A090C">
        <w:rPr>
          <w:rFonts w:ascii="Times New Roman" w:hAnsi="Times New Roman" w:cs="Times New Roman"/>
          <w:i/>
          <w:sz w:val="24"/>
          <w:szCs w:val="24"/>
        </w:rPr>
        <w:t>potestate</w:t>
      </w:r>
      <w:proofErr w:type="spellEnd"/>
      <w:r w:rsidRPr="008A090C">
        <w:rPr>
          <w:rFonts w:ascii="Times New Roman" w:hAnsi="Times New Roman" w:cs="Times New Roman"/>
          <w:sz w:val="24"/>
          <w:szCs w:val="24"/>
        </w:rPr>
        <w:t xml:space="preserve">  il minore è parte del procedimento e deve stare in giudizio con un curatore speciale che rappresenti e assista l’incapace, ai sensi dell’art. 78, comma 2 c.p.c., deducendo da ciò che la mancata nomina del curatore speciale ridondi in una nullità ai sensi e per gli effetti dell’art. 354, comma 1 c.p.c., senza possibilità di sanatoria in grado di appello.</w:t>
      </w:r>
    </w:p>
    <w:p w14:paraId="40181452" w14:textId="276D9101" w:rsidR="00874C5C" w:rsidRPr="008A090C" w:rsidRDefault="00DB57D4" w:rsidP="00874C5C">
      <w:pPr>
        <w:spacing w:before="100" w:beforeAutospacing="1" w:after="0" w:line="240" w:lineRule="auto"/>
        <w:ind w:firstLine="360"/>
        <w:jc w:val="both"/>
        <w:rPr>
          <w:rFonts w:ascii="Times New Roman" w:hAnsi="Times New Roman" w:cs="Times New Roman"/>
          <w:sz w:val="24"/>
          <w:szCs w:val="24"/>
        </w:rPr>
      </w:pPr>
      <w:r>
        <w:rPr>
          <w:rFonts w:ascii="Times New Roman" w:hAnsi="Times New Roman" w:cs="Times New Roman"/>
          <w:bCs/>
          <w:sz w:val="24"/>
          <w:szCs w:val="24"/>
        </w:rPr>
        <w:t>Si pensi anche al</w:t>
      </w:r>
      <w:r w:rsidR="00841D3D" w:rsidRPr="008A090C">
        <w:rPr>
          <w:rFonts w:ascii="Times New Roman" w:hAnsi="Times New Roman" w:cs="Times New Roman"/>
          <w:bCs/>
          <w:sz w:val="24"/>
          <w:szCs w:val="24"/>
        </w:rPr>
        <w:t xml:space="preserve"> coordinatore genitoriale, allo stesso CTU, per il quale è prevista la prenotazione a debito ai sensi dell’art. 131 comma 3, con la certezza di una procedura molto faticosa e raramente remunerativa, quando invece il legislatore potrebbe pensare ad estendere alle cause di famiglia la speciale disciplina prevista dall’art. 143 </w:t>
      </w:r>
      <w:proofErr w:type="spellStart"/>
      <w:r w:rsidR="00841D3D" w:rsidRPr="008A090C">
        <w:rPr>
          <w:rFonts w:ascii="Times New Roman" w:hAnsi="Times New Roman" w:cs="Times New Roman"/>
          <w:bCs/>
          <w:sz w:val="24"/>
          <w:szCs w:val="24"/>
        </w:rPr>
        <w:t>t.u.</w:t>
      </w:r>
      <w:proofErr w:type="spellEnd"/>
      <w:r w:rsidR="00841D3D" w:rsidRPr="008A090C">
        <w:rPr>
          <w:rFonts w:ascii="Times New Roman" w:hAnsi="Times New Roman" w:cs="Times New Roman"/>
          <w:bCs/>
          <w:sz w:val="24"/>
          <w:szCs w:val="24"/>
        </w:rPr>
        <w:t xml:space="preserve"> n. 115/2002 per i processi previsti dalla l. n. 184/1983.</w:t>
      </w:r>
    </w:p>
    <w:p w14:paraId="3F51D977" w14:textId="77777777" w:rsidR="00874C5C" w:rsidRPr="008A090C" w:rsidRDefault="00841D3D" w:rsidP="00874C5C">
      <w:pPr>
        <w:spacing w:before="100" w:beforeAutospacing="1" w:after="0" w:line="240" w:lineRule="auto"/>
        <w:ind w:firstLine="360"/>
        <w:jc w:val="both"/>
        <w:rPr>
          <w:rFonts w:ascii="Times New Roman" w:hAnsi="Times New Roman" w:cs="Times New Roman"/>
          <w:sz w:val="24"/>
          <w:szCs w:val="24"/>
        </w:rPr>
      </w:pPr>
      <w:r w:rsidRPr="008A090C">
        <w:rPr>
          <w:rFonts w:ascii="Times New Roman" w:hAnsi="Times New Roman" w:cs="Times New Roman"/>
          <w:bCs/>
          <w:sz w:val="24"/>
          <w:szCs w:val="24"/>
        </w:rPr>
        <w:t xml:space="preserve">Una particolare attenzione è rivolta alla figura del mediatore culturale. </w:t>
      </w:r>
    </w:p>
    <w:p w14:paraId="5BE00DE3" w14:textId="741E17B7" w:rsidR="00874C5C" w:rsidRPr="008A090C" w:rsidRDefault="00841D3D" w:rsidP="00874C5C">
      <w:pPr>
        <w:spacing w:before="100" w:beforeAutospacing="1" w:after="0" w:line="240" w:lineRule="auto"/>
        <w:ind w:firstLine="360"/>
        <w:jc w:val="both"/>
        <w:rPr>
          <w:rFonts w:ascii="Times New Roman" w:hAnsi="Times New Roman" w:cs="Times New Roman"/>
          <w:sz w:val="24"/>
          <w:szCs w:val="24"/>
        </w:rPr>
      </w:pPr>
      <w:r w:rsidRPr="008A090C">
        <w:rPr>
          <w:rFonts w:ascii="Times New Roman" w:hAnsi="Times New Roman" w:cs="Times New Roman"/>
          <w:bCs/>
          <w:sz w:val="24"/>
          <w:szCs w:val="24"/>
        </w:rPr>
        <w:t>Per la frequenza delle unioni transculturali e per la ricorrente indicazione da parte della giurisprudenza di legittimità che, in tali casi, ne esige la presenza ai fini della valutazione della genitorialità nell’ambito del conflitto, la Corte di appello di Roma sta lavorando per la stipula di convenzioni con il Comune di Roma, allo scopo di ottenere l’ausilio di mediatori culturali del Comune, senza oneri per le parti già ammesse al</w:t>
      </w:r>
      <w:r w:rsidR="002021BB">
        <w:rPr>
          <w:rFonts w:ascii="Times New Roman" w:hAnsi="Times New Roman" w:cs="Times New Roman"/>
          <w:bCs/>
          <w:sz w:val="24"/>
          <w:szCs w:val="24"/>
        </w:rPr>
        <w:t xml:space="preserve"> </w:t>
      </w:r>
      <w:r w:rsidRPr="008A090C">
        <w:rPr>
          <w:rFonts w:ascii="Times New Roman" w:hAnsi="Times New Roman" w:cs="Times New Roman"/>
          <w:bCs/>
          <w:sz w:val="24"/>
          <w:szCs w:val="24"/>
        </w:rPr>
        <w:t>patrocinio a spese dello Stato, attesa la difficoltà di disciplinare la liquidazione dei compensi sulla base del dato testuale vigente.</w:t>
      </w:r>
    </w:p>
    <w:p w14:paraId="32126BEF" w14:textId="5CC2A5FB" w:rsidR="00227C3E" w:rsidRPr="008A090C" w:rsidRDefault="008A090C" w:rsidP="00874C5C">
      <w:pPr>
        <w:spacing w:before="100" w:beforeAutospacing="1" w:after="0" w:line="240" w:lineRule="auto"/>
        <w:ind w:firstLine="360"/>
        <w:jc w:val="both"/>
        <w:rPr>
          <w:rFonts w:ascii="Times New Roman" w:hAnsi="Times New Roman" w:cs="Times New Roman"/>
          <w:sz w:val="24"/>
          <w:szCs w:val="24"/>
        </w:rPr>
      </w:pPr>
      <w:r w:rsidRPr="008A090C">
        <w:rPr>
          <w:rFonts w:ascii="Times New Roman" w:hAnsi="Times New Roman" w:cs="Times New Roman"/>
          <w:sz w:val="24"/>
          <w:szCs w:val="24"/>
        </w:rPr>
        <w:t>Per quanto concerne i contenuti del</w:t>
      </w:r>
      <w:r w:rsidR="00174F04" w:rsidRPr="008A090C">
        <w:rPr>
          <w:rFonts w:ascii="Times New Roman" w:hAnsi="Times New Roman" w:cs="Times New Roman"/>
          <w:sz w:val="24"/>
          <w:szCs w:val="24"/>
        </w:rPr>
        <w:t xml:space="preserve"> </w:t>
      </w:r>
      <w:r w:rsidRPr="008A090C">
        <w:rPr>
          <w:rFonts w:ascii="Times New Roman" w:hAnsi="Times New Roman" w:cs="Times New Roman"/>
          <w:sz w:val="24"/>
          <w:szCs w:val="24"/>
        </w:rPr>
        <w:t>P</w:t>
      </w:r>
      <w:r w:rsidR="007676EE" w:rsidRPr="008A090C">
        <w:rPr>
          <w:rFonts w:ascii="Times New Roman" w:hAnsi="Times New Roman" w:cs="Times New Roman"/>
          <w:sz w:val="24"/>
          <w:szCs w:val="24"/>
        </w:rPr>
        <w:t xml:space="preserve">rotocollo </w:t>
      </w:r>
      <w:r w:rsidR="00174F04" w:rsidRPr="008A090C">
        <w:rPr>
          <w:rFonts w:ascii="Times New Roman" w:hAnsi="Times New Roman" w:cs="Times New Roman"/>
          <w:sz w:val="24"/>
          <w:szCs w:val="24"/>
        </w:rPr>
        <w:t>per la</w:t>
      </w:r>
      <w:r w:rsidR="007676EE" w:rsidRPr="008A090C">
        <w:rPr>
          <w:rFonts w:ascii="Times New Roman" w:hAnsi="Times New Roman" w:cs="Times New Roman"/>
          <w:sz w:val="24"/>
          <w:szCs w:val="24"/>
        </w:rPr>
        <w:t xml:space="preserve"> liquidazione dei compensi in caso di ammissione al patrocinio a spese dello Stato</w:t>
      </w:r>
      <w:r w:rsidR="00174F04" w:rsidRPr="008A090C">
        <w:rPr>
          <w:rFonts w:ascii="Times New Roman" w:hAnsi="Times New Roman" w:cs="Times New Roman"/>
          <w:sz w:val="24"/>
          <w:szCs w:val="24"/>
        </w:rPr>
        <w:t xml:space="preserve"> nei procedimenti</w:t>
      </w:r>
      <w:r w:rsidR="007676EE" w:rsidRPr="008A090C">
        <w:rPr>
          <w:rFonts w:ascii="Times New Roman" w:hAnsi="Times New Roman" w:cs="Times New Roman"/>
          <w:sz w:val="24"/>
          <w:szCs w:val="24"/>
        </w:rPr>
        <w:t xml:space="preserve"> in materia di famiglia</w:t>
      </w:r>
      <w:r w:rsidR="003F3C49" w:rsidRPr="008A090C">
        <w:rPr>
          <w:rFonts w:ascii="Times New Roman" w:hAnsi="Times New Roman" w:cs="Times New Roman"/>
          <w:sz w:val="24"/>
          <w:szCs w:val="24"/>
        </w:rPr>
        <w:t xml:space="preserve"> il gruppo ha preso in esami i Protocolli che sono stati già elaborati da alcuni uffici giudiziari e, in particolare, </w:t>
      </w:r>
      <w:r w:rsidR="00B65919" w:rsidRPr="008A090C">
        <w:rPr>
          <w:rFonts w:ascii="Times New Roman" w:hAnsi="Times New Roman" w:cs="Times New Roman"/>
          <w:sz w:val="24"/>
          <w:szCs w:val="24"/>
        </w:rPr>
        <w:t>quelli del Tribu</w:t>
      </w:r>
      <w:r w:rsidR="00227C3E" w:rsidRPr="008A090C">
        <w:rPr>
          <w:rFonts w:ascii="Times New Roman" w:hAnsi="Times New Roman" w:cs="Times New Roman"/>
          <w:sz w:val="24"/>
          <w:szCs w:val="24"/>
        </w:rPr>
        <w:t>nale di Milano, di Cagliari, di Treviso e di Prato.</w:t>
      </w:r>
    </w:p>
    <w:p w14:paraId="79D2D2E6" w14:textId="65EE2632" w:rsidR="006B1E34" w:rsidRPr="008A090C" w:rsidRDefault="00954D58" w:rsidP="00227C3E">
      <w:pPr>
        <w:spacing w:before="100" w:beforeAutospacing="1" w:after="0" w:line="240" w:lineRule="auto"/>
        <w:ind w:firstLine="360"/>
        <w:jc w:val="both"/>
        <w:rPr>
          <w:rFonts w:ascii="Times New Roman" w:hAnsi="Times New Roman" w:cs="Times New Roman"/>
          <w:sz w:val="24"/>
          <w:szCs w:val="24"/>
        </w:rPr>
      </w:pPr>
      <w:r w:rsidRPr="008A090C">
        <w:rPr>
          <w:rFonts w:ascii="Times New Roman" w:hAnsi="Times New Roman" w:cs="Times New Roman"/>
          <w:sz w:val="24"/>
          <w:szCs w:val="24"/>
        </w:rPr>
        <w:t>S</w:t>
      </w:r>
      <w:r w:rsidR="008A090C" w:rsidRPr="008A090C">
        <w:rPr>
          <w:rFonts w:ascii="Times New Roman" w:hAnsi="Times New Roman" w:cs="Times New Roman"/>
          <w:sz w:val="24"/>
          <w:szCs w:val="24"/>
        </w:rPr>
        <w:t>i ritiene che</w:t>
      </w:r>
      <w:r w:rsidR="006B1E34" w:rsidRPr="008A090C">
        <w:rPr>
          <w:rFonts w:ascii="Times New Roman" w:hAnsi="Times New Roman" w:cs="Times New Roman"/>
          <w:sz w:val="24"/>
          <w:szCs w:val="24"/>
        </w:rPr>
        <w:t xml:space="preserve"> a partire dalla previsione dell’art. 130 del DPR 30 maggio 2002, n. 115, in relazione alla quale, nel settore civile, in caso di ammissione al patrocinio a spese dello Stato, il compenso dell’avvocato è ridotto alla metà, si può valutare di convenire, in uno specifico protocollo, circa:</w:t>
      </w:r>
    </w:p>
    <w:p w14:paraId="27F1C355" w14:textId="77777777" w:rsidR="006B1E34" w:rsidRPr="008A090C" w:rsidRDefault="006B1E34" w:rsidP="006B1E34">
      <w:pPr>
        <w:spacing w:after="0"/>
        <w:jc w:val="both"/>
        <w:rPr>
          <w:rFonts w:ascii="Times New Roman" w:hAnsi="Times New Roman" w:cs="Times New Roman"/>
          <w:sz w:val="24"/>
          <w:szCs w:val="24"/>
        </w:rPr>
      </w:pPr>
      <w:r w:rsidRPr="008A090C">
        <w:rPr>
          <w:rFonts w:ascii="Times New Roman" w:hAnsi="Times New Roman" w:cs="Times New Roman"/>
          <w:sz w:val="24"/>
          <w:szCs w:val="24"/>
        </w:rPr>
        <w:tab/>
        <w:t>- l’indicazione di criteri uniformi per la liquidazione dei compensi dovuti ai difensori, con specifico riferimento alla natura e alle fasi proprie dei diversi procedimenti;</w:t>
      </w:r>
    </w:p>
    <w:p w14:paraId="00DF5E70" w14:textId="77777777" w:rsidR="006B1E34" w:rsidRPr="008A090C" w:rsidRDefault="006B1E34" w:rsidP="006B1E34">
      <w:pPr>
        <w:spacing w:after="0"/>
        <w:jc w:val="both"/>
        <w:rPr>
          <w:rFonts w:ascii="Times New Roman" w:hAnsi="Times New Roman" w:cs="Times New Roman"/>
          <w:sz w:val="24"/>
          <w:szCs w:val="24"/>
        </w:rPr>
      </w:pPr>
      <w:r w:rsidRPr="008A090C">
        <w:rPr>
          <w:rFonts w:ascii="Times New Roman" w:hAnsi="Times New Roman" w:cs="Times New Roman"/>
          <w:sz w:val="24"/>
          <w:szCs w:val="24"/>
        </w:rPr>
        <w:tab/>
        <w:t xml:space="preserve">- l’eventuale adesione da parte del difensore al protocollo, con conseguente semplificazione degli oneri di documentazione e rinuncia all’impugnazione del decreto di liquidazione, estesa anche al P.M.  </w:t>
      </w:r>
    </w:p>
    <w:p w14:paraId="70AFF16F" w14:textId="7C257F22" w:rsidR="0049712D" w:rsidRPr="0049712D" w:rsidRDefault="006B1E34" w:rsidP="00B65919">
      <w:pPr>
        <w:spacing w:after="0"/>
        <w:jc w:val="both"/>
        <w:rPr>
          <w:rFonts w:ascii="Times New Roman" w:hAnsi="Times New Roman" w:cs="Times New Roman"/>
          <w:sz w:val="24"/>
          <w:szCs w:val="24"/>
        </w:rPr>
      </w:pPr>
      <w:r w:rsidRPr="008A090C">
        <w:rPr>
          <w:rFonts w:ascii="Times New Roman" w:hAnsi="Times New Roman" w:cs="Times New Roman"/>
          <w:sz w:val="24"/>
          <w:szCs w:val="24"/>
        </w:rPr>
        <w:tab/>
        <w:t>- possibili condizioni di salvaguardia del diritto al compenso a seguito di domanda tardiva.</w:t>
      </w:r>
    </w:p>
    <w:p w14:paraId="3447EFD2" w14:textId="77777777" w:rsidR="0049712D" w:rsidRPr="00227C3E" w:rsidRDefault="00B71FB1" w:rsidP="00CA461B">
      <w:pPr>
        <w:spacing w:before="100" w:beforeAutospacing="1" w:after="0" w:line="240" w:lineRule="auto"/>
        <w:jc w:val="center"/>
        <w:rPr>
          <w:rFonts w:ascii="Times New Roman" w:hAnsi="Times New Roman" w:cs="Times New Roman"/>
          <w:b/>
          <w:sz w:val="28"/>
          <w:szCs w:val="28"/>
          <w:u w:val="single"/>
        </w:rPr>
      </w:pPr>
      <w:r w:rsidRPr="00227C3E">
        <w:rPr>
          <w:rFonts w:ascii="Times New Roman" w:hAnsi="Times New Roman" w:cs="Times New Roman"/>
          <w:b/>
          <w:sz w:val="28"/>
          <w:szCs w:val="28"/>
          <w:u w:val="single"/>
        </w:rPr>
        <w:t>GRUPPO</w:t>
      </w:r>
      <w:r w:rsidR="001913CD" w:rsidRPr="00227C3E">
        <w:rPr>
          <w:rFonts w:ascii="Times New Roman" w:hAnsi="Times New Roman" w:cs="Times New Roman"/>
          <w:b/>
          <w:sz w:val="28"/>
          <w:szCs w:val="28"/>
          <w:u w:val="single"/>
        </w:rPr>
        <w:t xml:space="preserve"> </w:t>
      </w:r>
      <w:r w:rsidR="00B046F2" w:rsidRPr="00227C3E">
        <w:rPr>
          <w:rFonts w:ascii="Times New Roman" w:hAnsi="Times New Roman" w:cs="Times New Roman"/>
          <w:b/>
          <w:sz w:val="28"/>
          <w:szCs w:val="28"/>
          <w:u w:val="single"/>
        </w:rPr>
        <w:t>ADR</w:t>
      </w:r>
      <w:r w:rsidR="00533D1F" w:rsidRPr="00227C3E">
        <w:rPr>
          <w:rFonts w:ascii="Times New Roman" w:hAnsi="Times New Roman" w:cs="Times New Roman"/>
          <w:b/>
          <w:sz w:val="28"/>
          <w:szCs w:val="28"/>
          <w:u w:val="single"/>
        </w:rPr>
        <w:t xml:space="preserve"> </w:t>
      </w:r>
      <w:r w:rsidR="0049712D" w:rsidRPr="00227C3E">
        <w:rPr>
          <w:rFonts w:ascii="Times New Roman" w:hAnsi="Times New Roman" w:cs="Times New Roman"/>
          <w:b/>
          <w:sz w:val="28"/>
          <w:szCs w:val="28"/>
          <w:u w:val="single"/>
        </w:rPr>
        <w:t>E PA</w:t>
      </w:r>
    </w:p>
    <w:p w14:paraId="2B986D66" w14:textId="7541247B" w:rsidR="00BC012C" w:rsidRPr="00227C3E" w:rsidRDefault="0049712D" w:rsidP="00BC012C">
      <w:pPr>
        <w:spacing w:before="100" w:beforeAutospacing="1" w:after="0" w:line="240" w:lineRule="auto"/>
        <w:jc w:val="center"/>
        <w:rPr>
          <w:rFonts w:ascii="Times New Roman" w:hAnsi="Times New Roman" w:cs="Times New Roman"/>
          <w:b/>
          <w:sz w:val="28"/>
          <w:szCs w:val="28"/>
          <w:u w:val="single"/>
        </w:rPr>
      </w:pPr>
      <w:r w:rsidRPr="00227C3E">
        <w:rPr>
          <w:rFonts w:ascii="Times New Roman" w:hAnsi="Times New Roman" w:cs="Times New Roman"/>
          <w:b/>
          <w:sz w:val="28"/>
          <w:szCs w:val="28"/>
          <w:u w:val="single"/>
        </w:rPr>
        <w:t xml:space="preserve">LE ADR </w:t>
      </w:r>
      <w:r w:rsidR="001913CD" w:rsidRPr="00227C3E">
        <w:rPr>
          <w:rFonts w:ascii="Times New Roman" w:hAnsi="Times New Roman" w:cs="Times New Roman"/>
          <w:b/>
          <w:sz w:val="28"/>
          <w:szCs w:val="28"/>
          <w:u w:val="single"/>
        </w:rPr>
        <w:t xml:space="preserve">NELLE CONTROVERSIE TRA CITTADINO E </w:t>
      </w:r>
      <w:r w:rsidRPr="00227C3E">
        <w:rPr>
          <w:rFonts w:ascii="Times New Roman" w:hAnsi="Times New Roman" w:cs="Times New Roman"/>
          <w:b/>
          <w:sz w:val="28"/>
          <w:szCs w:val="28"/>
          <w:u w:val="single"/>
        </w:rPr>
        <w:t>PA</w:t>
      </w:r>
    </w:p>
    <w:p w14:paraId="5F216D74" w14:textId="77777777" w:rsidR="00BC012C" w:rsidRPr="0049712D" w:rsidRDefault="00BC012C" w:rsidP="00BC012C">
      <w:pPr>
        <w:spacing w:before="100" w:beforeAutospacing="1" w:after="0" w:line="240" w:lineRule="auto"/>
        <w:jc w:val="center"/>
        <w:rPr>
          <w:rFonts w:ascii="Times New Roman" w:hAnsi="Times New Roman" w:cs="Times New Roman"/>
          <w:b/>
          <w:sz w:val="24"/>
          <w:szCs w:val="24"/>
        </w:rPr>
      </w:pPr>
    </w:p>
    <w:p w14:paraId="1B168423" w14:textId="124A4E22" w:rsidR="00465CB7" w:rsidRPr="0049712D" w:rsidRDefault="00465CB7" w:rsidP="00CA461B">
      <w:pPr>
        <w:tabs>
          <w:tab w:val="left" w:pos="9356"/>
        </w:tabs>
        <w:spacing w:line="240" w:lineRule="auto"/>
        <w:ind w:right="142" w:firstLine="426"/>
        <w:jc w:val="both"/>
        <w:rPr>
          <w:rFonts w:ascii="Times New Roman" w:hAnsi="Times New Roman" w:cs="Times New Roman"/>
          <w:sz w:val="24"/>
          <w:szCs w:val="24"/>
        </w:rPr>
      </w:pPr>
      <w:r w:rsidRPr="0049712D">
        <w:rPr>
          <w:rFonts w:ascii="Times New Roman" w:hAnsi="Times New Roman" w:cs="Times New Roman"/>
          <w:sz w:val="24"/>
          <w:szCs w:val="24"/>
        </w:rPr>
        <w:t>A partire dal 2017 l’Osservatorio di Roma, attraverso il coinvolgimento dell’Avvocatura Generale dello Stat</w:t>
      </w:r>
      <w:r w:rsidR="00FC19A6" w:rsidRPr="0049712D">
        <w:rPr>
          <w:rFonts w:ascii="Times New Roman" w:hAnsi="Times New Roman" w:cs="Times New Roman"/>
          <w:sz w:val="24"/>
          <w:szCs w:val="24"/>
        </w:rPr>
        <w:t>o, ha iniziato a lavorare sul tema delle ADR nelle controversie che coinvolgono la Pubblica amministrazione. Ne è emerso il</w:t>
      </w:r>
      <w:r w:rsidR="009F6825" w:rsidRPr="0049712D">
        <w:rPr>
          <w:rFonts w:ascii="Times New Roman" w:hAnsi="Times New Roman" w:cs="Times New Roman"/>
          <w:sz w:val="24"/>
          <w:szCs w:val="24"/>
        </w:rPr>
        <w:t xml:space="preserve"> ruolo fondamentale della </w:t>
      </w:r>
      <w:r w:rsidRPr="0049712D">
        <w:rPr>
          <w:rFonts w:ascii="Times New Roman" w:hAnsi="Times New Roman" w:cs="Times New Roman"/>
          <w:sz w:val="24"/>
          <w:szCs w:val="24"/>
        </w:rPr>
        <w:t xml:space="preserve">funzione consultiva che </w:t>
      </w:r>
      <w:r w:rsidR="009F6825" w:rsidRPr="0049712D">
        <w:rPr>
          <w:rFonts w:ascii="Times New Roman" w:hAnsi="Times New Roman" w:cs="Times New Roman"/>
          <w:sz w:val="24"/>
          <w:szCs w:val="24"/>
        </w:rPr>
        <w:t xml:space="preserve">svolgono le </w:t>
      </w:r>
      <w:r w:rsidR="00BF53FB" w:rsidRPr="0049712D">
        <w:rPr>
          <w:rFonts w:ascii="Times New Roman" w:hAnsi="Times New Roman" w:cs="Times New Roman"/>
          <w:sz w:val="24"/>
          <w:szCs w:val="24"/>
        </w:rPr>
        <w:t>A</w:t>
      </w:r>
      <w:r w:rsidR="009F6825" w:rsidRPr="0049712D">
        <w:rPr>
          <w:rFonts w:ascii="Times New Roman" w:hAnsi="Times New Roman" w:cs="Times New Roman"/>
          <w:sz w:val="24"/>
          <w:szCs w:val="24"/>
        </w:rPr>
        <w:t>vvocature pubbliche</w:t>
      </w:r>
      <w:r w:rsidRPr="0049712D">
        <w:rPr>
          <w:rFonts w:ascii="Times New Roman" w:hAnsi="Times New Roman" w:cs="Times New Roman"/>
          <w:sz w:val="24"/>
          <w:szCs w:val="24"/>
        </w:rPr>
        <w:t xml:space="preserve"> nei confronti dell’Amministrazione </w:t>
      </w:r>
      <w:r w:rsidR="009F6825" w:rsidRPr="0049712D">
        <w:rPr>
          <w:rFonts w:ascii="Times New Roman" w:hAnsi="Times New Roman" w:cs="Times New Roman"/>
          <w:sz w:val="24"/>
          <w:szCs w:val="24"/>
        </w:rPr>
        <w:t>al fine di</w:t>
      </w:r>
      <w:r w:rsidRPr="0049712D">
        <w:rPr>
          <w:rFonts w:ascii="Times New Roman" w:hAnsi="Times New Roman" w:cs="Times New Roman"/>
          <w:sz w:val="24"/>
          <w:szCs w:val="24"/>
        </w:rPr>
        <w:t xml:space="preserve"> prevenire un contenzioso inutile o dannoso o definire alcuni contenziosi in tempi ragionevoli con una soluzione accettabile per entrambe le parti in conflitto</w:t>
      </w:r>
      <w:r w:rsidR="00BF53FB" w:rsidRPr="0049712D">
        <w:rPr>
          <w:rFonts w:ascii="Times New Roman" w:hAnsi="Times New Roman" w:cs="Times New Roman"/>
          <w:sz w:val="24"/>
          <w:szCs w:val="24"/>
        </w:rPr>
        <w:t>.</w:t>
      </w:r>
    </w:p>
    <w:p w14:paraId="18BF4F82" w14:textId="16FEDF51" w:rsidR="00465CB7" w:rsidRPr="0049712D" w:rsidRDefault="0016573D" w:rsidP="00CA461B">
      <w:pPr>
        <w:tabs>
          <w:tab w:val="left" w:pos="9356"/>
        </w:tabs>
        <w:spacing w:line="240" w:lineRule="auto"/>
        <w:ind w:right="142" w:firstLine="426"/>
        <w:jc w:val="both"/>
        <w:rPr>
          <w:rFonts w:ascii="Times New Roman" w:hAnsi="Times New Roman" w:cs="Times New Roman"/>
          <w:sz w:val="24"/>
          <w:szCs w:val="24"/>
        </w:rPr>
      </w:pPr>
      <w:r w:rsidRPr="0049712D">
        <w:rPr>
          <w:rFonts w:ascii="Times New Roman" w:hAnsi="Times New Roman" w:cs="Times New Roman"/>
          <w:sz w:val="24"/>
          <w:szCs w:val="24"/>
        </w:rPr>
        <w:t xml:space="preserve">Anche la questione del rischio della responsabilità contabile che corre il funzionario pubblico che accetta di addivenire ad una soluzione concordata della </w:t>
      </w:r>
      <w:r w:rsidR="0078355E" w:rsidRPr="0049712D">
        <w:rPr>
          <w:rFonts w:ascii="Times New Roman" w:hAnsi="Times New Roman" w:cs="Times New Roman"/>
          <w:sz w:val="24"/>
          <w:szCs w:val="24"/>
        </w:rPr>
        <w:t>controversia può esse</w:t>
      </w:r>
      <w:r w:rsidR="00F132CE" w:rsidRPr="0049712D">
        <w:rPr>
          <w:rFonts w:ascii="Times New Roman" w:hAnsi="Times New Roman" w:cs="Times New Roman"/>
          <w:sz w:val="24"/>
          <w:szCs w:val="24"/>
        </w:rPr>
        <w:t>re affrontat</w:t>
      </w:r>
      <w:r w:rsidR="00A31A28">
        <w:rPr>
          <w:rFonts w:ascii="Times New Roman" w:hAnsi="Times New Roman" w:cs="Times New Roman"/>
          <w:sz w:val="24"/>
          <w:szCs w:val="24"/>
        </w:rPr>
        <w:t xml:space="preserve">a in modo diverso se si parte </w:t>
      </w:r>
      <w:r w:rsidR="00F132CE" w:rsidRPr="0049712D">
        <w:rPr>
          <w:rFonts w:ascii="Times New Roman" w:hAnsi="Times New Roman" w:cs="Times New Roman"/>
          <w:sz w:val="24"/>
          <w:szCs w:val="24"/>
        </w:rPr>
        <w:t xml:space="preserve">dall’esigenza di </w:t>
      </w:r>
      <w:r w:rsidR="00465CB7" w:rsidRPr="0049712D">
        <w:rPr>
          <w:rFonts w:ascii="Times New Roman" w:hAnsi="Times New Roman" w:cs="Times New Roman"/>
          <w:sz w:val="24"/>
          <w:szCs w:val="24"/>
        </w:rPr>
        <w:t xml:space="preserve">evitare alla collettività i costi dei contenziosi lunghi e inutili </w:t>
      </w:r>
      <w:r w:rsidR="00F132CE" w:rsidRPr="0049712D">
        <w:rPr>
          <w:rFonts w:ascii="Times New Roman" w:hAnsi="Times New Roman" w:cs="Times New Roman"/>
          <w:sz w:val="24"/>
          <w:szCs w:val="24"/>
        </w:rPr>
        <w:t xml:space="preserve">nei quali si tratta spesso di dover </w:t>
      </w:r>
      <w:r w:rsidR="00D348B5" w:rsidRPr="0049712D">
        <w:rPr>
          <w:rFonts w:ascii="Times New Roman" w:hAnsi="Times New Roman" w:cs="Times New Roman"/>
          <w:sz w:val="24"/>
          <w:szCs w:val="24"/>
        </w:rPr>
        <w:t>solo quantificare la somma dovuta dall’Amministrazione.</w:t>
      </w:r>
    </w:p>
    <w:p w14:paraId="1ABA603C" w14:textId="7FD7308D" w:rsidR="00D348B5" w:rsidRDefault="00A05AC4" w:rsidP="00CA461B">
      <w:pPr>
        <w:tabs>
          <w:tab w:val="left" w:pos="9356"/>
        </w:tabs>
        <w:spacing w:line="240" w:lineRule="auto"/>
        <w:ind w:right="142" w:firstLine="426"/>
        <w:jc w:val="both"/>
        <w:rPr>
          <w:rFonts w:ascii="Times New Roman" w:hAnsi="Times New Roman" w:cs="Times New Roman"/>
          <w:sz w:val="24"/>
          <w:szCs w:val="24"/>
        </w:rPr>
      </w:pPr>
      <w:r w:rsidRPr="0049712D">
        <w:rPr>
          <w:rFonts w:ascii="Times New Roman" w:hAnsi="Times New Roman" w:cs="Times New Roman"/>
          <w:sz w:val="24"/>
          <w:szCs w:val="24"/>
        </w:rPr>
        <w:t>Quest’anno l’Osservatorio</w:t>
      </w:r>
      <w:r w:rsidR="00AE2EF6" w:rsidRPr="0049712D">
        <w:rPr>
          <w:rFonts w:ascii="Times New Roman" w:hAnsi="Times New Roman" w:cs="Times New Roman"/>
          <w:sz w:val="24"/>
          <w:szCs w:val="24"/>
        </w:rPr>
        <w:t xml:space="preserve"> di Roma </w:t>
      </w:r>
      <w:r w:rsidR="001A6F47" w:rsidRPr="0049712D">
        <w:rPr>
          <w:rFonts w:ascii="Times New Roman" w:hAnsi="Times New Roman" w:cs="Times New Roman"/>
          <w:sz w:val="24"/>
          <w:szCs w:val="24"/>
        </w:rPr>
        <w:t xml:space="preserve">ha deciso di </w:t>
      </w:r>
      <w:r w:rsidR="00A31A28">
        <w:rPr>
          <w:rFonts w:ascii="Times New Roman" w:hAnsi="Times New Roman" w:cs="Times New Roman"/>
          <w:sz w:val="24"/>
          <w:szCs w:val="24"/>
        </w:rPr>
        <w:t>trattare più approfonditamente</w:t>
      </w:r>
      <w:r w:rsidR="00AE2EF6" w:rsidRPr="0049712D">
        <w:rPr>
          <w:rFonts w:ascii="Times New Roman" w:hAnsi="Times New Roman" w:cs="Times New Roman"/>
          <w:sz w:val="24"/>
          <w:szCs w:val="24"/>
        </w:rPr>
        <w:t xml:space="preserve"> questo tema, in collaborazione con la Camera Regionale di conciliazione istituita dalla Regione Lazio</w:t>
      </w:r>
      <w:r w:rsidR="006002E8" w:rsidRPr="0049712D">
        <w:rPr>
          <w:rFonts w:ascii="Times New Roman" w:hAnsi="Times New Roman" w:cs="Times New Roman"/>
          <w:sz w:val="24"/>
          <w:szCs w:val="24"/>
        </w:rPr>
        <w:t xml:space="preserve">, </w:t>
      </w:r>
      <w:r w:rsidR="001A6F47" w:rsidRPr="0049712D">
        <w:rPr>
          <w:rFonts w:ascii="Times New Roman" w:hAnsi="Times New Roman" w:cs="Times New Roman"/>
          <w:sz w:val="24"/>
          <w:szCs w:val="24"/>
        </w:rPr>
        <w:t xml:space="preserve">attraverso </w:t>
      </w:r>
      <w:r w:rsidR="000E1303" w:rsidRPr="0049712D">
        <w:rPr>
          <w:rFonts w:ascii="Times New Roman" w:hAnsi="Times New Roman" w:cs="Times New Roman"/>
          <w:sz w:val="24"/>
          <w:szCs w:val="24"/>
        </w:rPr>
        <w:t>quattro</w:t>
      </w:r>
      <w:r w:rsidR="00A32012" w:rsidRPr="0049712D">
        <w:rPr>
          <w:rFonts w:ascii="Times New Roman" w:hAnsi="Times New Roman" w:cs="Times New Roman"/>
          <w:sz w:val="24"/>
          <w:szCs w:val="24"/>
        </w:rPr>
        <w:t xml:space="preserve"> incontri dell’Officina della conciliazione</w:t>
      </w:r>
      <w:r w:rsidR="00434054" w:rsidRPr="0049712D">
        <w:rPr>
          <w:rFonts w:ascii="Times New Roman" w:hAnsi="Times New Roman" w:cs="Times New Roman"/>
          <w:sz w:val="24"/>
          <w:szCs w:val="24"/>
        </w:rPr>
        <w:t xml:space="preserve"> </w:t>
      </w:r>
      <w:r w:rsidR="000E1303" w:rsidRPr="0049712D">
        <w:rPr>
          <w:rFonts w:ascii="Times New Roman" w:hAnsi="Times New Roman" w:cs="Times New Roman"/>
          <w:sz w:val="24"/>
          <w:szCs w:val="24"/>
        </w:rPr>
        <w:t>dedicati ai seguenti temi: 1) la conciliazione nel processo</w:t>
      </w:r>
      <w:r w:rsidR="002E28A9" w:rsidRPr="0049712D">
        <w:rPr>
          <w:rFonts w:ascii="Times New Roman" w:hAnsi="Times New Roman" w:cs="Times New Roman"/>
          <w:sz w:val="24"/>
          <w:szCs w:val="24"/>
        </w:rPr>
        <w:t>. Responsabilità professionale del medico; 2) le soluzioni conciliative nel rapporto</w:t>
      </w:r>
      <w:r w:rsidR="00356612" w:rsidRPr="0049712D">
        <w:rPr>
          <w:rFonts w:ascii="Times New Roman" w:hAnsi="Times New Roman" w:cs="Times New Roman"/>
          <w:sz w:val="24"/>
          <w:szCs w:val="24"/>
        </w:rPr>
        <w:t xml:space="preserve"> tra cittadini e PA in materia di danni a persone e cose; 3) le soluzioni conciliative in materia di contributi pubblici; 4) le soluzioni conciliative</w:t>
      </w:r>
      <w:r w:rsidR="00B71FB1" w:rsidRPr="0049712D">
        <w:rPr>
          <w:rFonts w:ascii="Times New Roman" w:hAnsi="Times New Roman" w:cs="Times New Roman"/>
          <w:sz w:val="24"/>
          <w:szCs w:val="24"/>
        </w:rPr>
        <w:t xml:space="preserve"> nei rapporti tra fornitori ed enti pubblici ed in particolare con il Servizio sanitario nazionale.</w:t>
      </w:r>
    </w:p>
    <w:p w14:paraId="7D6E8881" w14:textId="1477C3AA" w:rsidR="00473762" w:rsidRDefault="00473762" w:rsidP="00CA461B">
      <w:pPr>
        <w:tabs>
          <w:tab w:val="left" w:pos="9356"/>
        </w:tabs>
        <w:spacing w:line="240" w:lineRule="auto"/>
        <w:ind w:right="142" w:firstLine="426"/>
        <w:jc w:val="both"/>
        <w:rPr>
          <w:rFonts w:ascii="Times New Roman" w:hAnsi="Times New Roman" w:cs="Times New Roman"/>
          <w:sz w:val="24"/>
          <w:szCs w:val="24"/>
        </w:rPr>
      </w:pPr>
    </w:p>
    <w:p w14:paraId="6180F7E0" w14:textId="128F98E9" w:rsidR="0016146D" w:rsidRPr="001A728D" w:rsidRDefault="0016146D" w:rsidP="005175BB">
      <w:pPr>
        <w:spacing w:after="0" w:line="360" w:lineRule="auto"/>
        <w:rPr>
          <w:rFonts w:ascii="Times New Roman" w:hAnsi="Times New Roman" w:cs="Times New Roman"/>
          <w:sz w:val="24"/>
          <w:szCs w:val="24"/>
        </w:rPr>
      </w:pPr>
    </w:p>
    <w:sectPr w:rsidR="0016146D" w:rsidRPr="001A728D" w:rsidSect="00EB0E9C">
      <w:footerReference w:type="defaul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D79FF" w14:textId="77777777" w:rsidR="00042B31" w:rsidRDefault="00042B31" w:rsidP="00CF67B5">
      <w:pPr>
        <w:spacing w:after="0" w:line="240" w:lineRule="auto"/>
      </w:pPr>
      <w:r>
        <w:separator/>
      </w:r>
    </w:p>
  </w:endnote>
  <w:endnote w:type="continuationSeparator" w:id="0">
    <w:p w14:paraId="3360C5BF" w14:textId="77777777" w:rsidR="00042B31" w:rsidRDefault="00042B31" w:rsidP="00CF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swa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747409"/>
      <w:docPartObj>
        <w:docPartGallery w:val="Page Numbers (Bottom of Page)"/>
        <w:docPartUnique/>
      </w:docPartObj>
    </w:sdtPr>
    <w:sdtEndPr/>
    <w:sdtContent>
      <w:p w14:paraId="09734624" w14:textId="62159481" w:rsidR="00EB0E9C" w:rsidRDefault="00EB0E9C">
        <w:pPr>
          <w:pStyle w:val="Pidipagina"/>
          <w:jc w:val="center"/>
        </w:pPr>
        <w:r>
          <w:fldChar w:fldCharType="begin"/>
        </w:r>
        <w:r>
          <w:instrText>PAGE   \* MERGEFORMAT</w:instrText>
        </w:r>
        <w:r>
          <w:fldChar w:fldCharType="separate"/>
        </w:r>
        <w:r>
          <w:rPr>
            <w:noProof/>
          </w:rPr>
          <w:t>7</w:t>
        </w:r>
        <w:r>
          <w:fldChar w:fldCharType="end"/>
        </w:r>
      </w:p>
    </w:sdtContent>
  </w:sdt>
  <w:p w14:paraId="3419E384" w14:textId="77777777" w:rsidR="00C204D2" w:rsidRDefault="00C204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6E2BD" w14:textId="77777777" w:rsidR="00042B31" w:rsidRDefault="00042B31" w:rsidP="00CF67B5">
      <w:pPr>
        <w:spacing w:after="0" w:line="240" w:lineRule="auto"/>
      </w:pPr>
      <w:r>
        <w:separator/>
      </w:r>
    </w:p>
  </w:footnote>
  <w:footnote w:type="continuationSeparator" w:id="0">
    <w:p w14:paraId="45555855" w14:textId="77777777" w:rsidR="00042B31" w:rsidRDefault="00042B31" w:rsidP="00CF6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3198C"/>
    <w:multiLevelType w:val="multilevel"/>
    <w:tmpl w:val="A0125F62"/>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E10326"/>
    <w:multiLevelType w:val="hybridMultilevel"/>
    <w:tmpl w:val="2E6411FE"/>
    <w:lvl w:ilvl="0" w:tplc="DAB4DCFC">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0816EB"/>
    <w:multiLevelType w:val="hybridMultilevel"/>
    <w:tmpl w:val="7E9CB2A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AF1929"/>
    <w:multiLevelType w:val="hybridMultilevel"/>
    <w:tmpl w:val="1ECCBC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27444C"/>
    <w:multiLevelType w:val="hybridMultilevel"/>
    <w:tmpl w:val="D7009BA6"/>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1C6C1DBB"/>
    <w:multiLevelType w:val="hybridMultilevel"/>
    <w:tmpl w:val="91586048"/>
    <w:lvl w:ilvl="0" w:tplc="FFFFFFFF">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4172CD0"/>
    <w:multiLevelType w:val="hybridMultilevel"/>
    <w:tmpl w:val="2F2041B8"/>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B834AE"/>
    <w:multiLevelType w:val="hybridMultilevel"/>
    <w:tmpl w:val="279E4A52"/>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5ED2F64"/>
    <w:multiLevelType w:val="hybridMultilevel"/>
    <w:tmpl w:val="9BEAD368"/>
    <w:lvl w:ilvl="0" w:tplc="F95AA4AA">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A8090A"/>
    <w:multiLevelType w:val="hybridMultilevel"/>
    <w:tmpl w:val="BE9258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A74CC5"/>
    <w:multiLevelType w:val="hybridMultilevel"/>
    <w:tmpl w:val="D7CA195C"/>
    <w:lvl w:ilvl="0" w:tplc="051EAF26">
      <w:start w:val="1"/>
      <w:numFmt w:val="decimal"/>
      <w:lvlText w:val="%1)"/>
      <w:lvlJc w:val="left"/>
      <w:pPr>
        <w:ind w:left="927" w:hanging="360"/>
      </w:p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1" w15:restartNumberingAfterBreak="0">
    <w:nsid w:val="2A33184E"/>
    <w:multiLevelType w:val="hybridMultilevel"/>
    <w:tmpl w:val="45D8F09C"/>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17104B6"/>
    <w:multiLevelType w:val="hybridMultilevel"/>
    <w:tmpl w:val="EB442A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69F221D"/>
    <w:multiLevelType w:val="hybridMultilevel"/>
    <w:tmpl w:val="34D65EF6"/>
    <w:lvl w:ilvl="0" w:tplc="6826DE9A">
      <w:numFmt w:val="bullet"/>
      <w:lvlText w:val="-"/>
      <w:lvlJc w:val="left"/>
      <w:pPr>
        <w:ind w:left="1069" w:hanging="360"/>
      </w:pPr>
      <w:rPr>
        <w:rFonts w:ascii="Garamond" w:eastAsiaTheme="minorHAnsi" w:hAnsi="Garamond" w:cstheme="minorBidi" w:hint="default"/>
        <w:color w:val="auto"/>
      </w:rPr>
    </w:lvl>
    <w:lvl w:ilvl="1" w:tplc="04100003">
      <w:start w:val="1"/>
      <w:numFmt w:val="bullet"/>
      <w:lvlText w:val="o"/>
      <w:lvlJc w:val="left"/>
      <w:pPr>
        <w:ind w:left="1789" w:hanging="360"/>
      </w:pPr>
      <w:rPr>
        <w:rFonts w:ascii="Courier New" w:hAnsi="Courier New" w:cs="Courier New" w:hint="default"/>
      </w:rPr>
    </w:lvl>
    <w:lvl w:ilvl="2" w:tplc="04100005">
      <w:start w:val="1"/>
      <w:numFmt w:val="bullet"/>
      <w:lvlText w:val=""/>
      <w:lvlJc w:val="left"/>
      <w:pPr>
        <w:ind w:left="2509" w:hanging="360"/>
      </w:pPr>
      <w:rPr>
        <w:rFonts w:ascii="Wingdings" w:hAnsi="Wingdings" w:hint="default"/>
      </w:rPr>
    </w:lvl>
    <w:lvl w:ilvl="3" w:tplc="04100001">
      <w:start w:val="1"/>
      <w:numFmt w:val="bullet"/>
      <w:lvlText w:val=""/>
      <w:lvlJc w:val="left"/>
      <w:pPr>
        <w:ind w:left="3229" w:hanging="360"/>
      </w:pPr>
      <w:rPr>
        <w:rFonts w:ascii="Symbol" w:hAnsi="Symbol" w:hint="default"/>
      </w:rPr>
    </w:lvl>
    <w:lvl w:ilvl="4" w:tplc="04100003">
      <w:start w:val="1"/>
      <w:numFmt w:val="bullet"/>
      <w:lvlText w:val="o"/>
      <w:lvlJc w:val="left"/>
      <w:pPr>
        <w:ind w:left="3949" w:hanging="360"/>
      </w:pPr>
      <w:rPr>
        <w:rFonts w:ascii="Courier New" w:hAnsi="Courier New" w:cs="Courier New" w:hint="default"/>
      </w:rPr>
    </w:lvl>
    <w:lvl w:ilvl="5" w:tplc="04100005">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4" w15:restartNumberingAfterBreak="0">
    <w:nsid w:val="3808493A"/>
    <w:multiLevelType w:val="hybridMultilevel"/>
    <w:tmpl w:val="A0729FE4"/>
    <w:lvl w:ilvl="0" w:tplc="8F7E3A7A">
      <w:start w:val="1"/>
      <w:numFmt w:val="decimal"/>
      <w:lvlText w:val="%1)"/>
      <w:lvlJc w:val="left"/>
      <w:pPr>
        <w:ind w:left="700" w:hanging="360"/>
      </w:pPr>
      <w:rPr>
        <w:rFonts w:ascii="Times New Roman" w:eastAsiaTheme="minorHAnsi" w:hAnsi="Times New Roman" w:cs="Times New Roman"/>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15" w15:restartNumberingAfterBreak="0">
    <w:nsid w:val="42394601"/>
    <w:multiLevelType w:val="hybridMultilevel"/>
    <w:tmpl w:val="0E808500"/>
    <w:lvl w:ilvl="0" w:tplc="4404E14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6350241"/>
    <w:multiLevelType w:val="hybridMultilevel"/>
    <w:tmpl w:val="6A0857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E4E2DE9"/>
    <w:multiLevelType w:val="hybridMultilevel"/>
    <w:tmpl w:val="A19EAB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5610870"/>
    <w:multiLevelType w:val="multilevel"/>
    <w:tmpl w:val="C4CE85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5FD65D5"/>
    <w:multiLevelType w:val="hybridMultilevel"/>
    <w:tmpl w:val="B49C3F34"/>
    <w:lvl w:ilvl="0" w:tplc="82A44CA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9382574"/>
    <w:multiLevelType w:val="hybridMultilevel"/>
    <w:tmpl w:val="1F5EA8A6"/>
    <w:lvl w:ilvl="0" w:tplc="F95AA4AA">
      <w:start w:val="2"/>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7D4C27A4"/>
    <w:multiLevelType w:val="hybridMultilevel"/>
    <w:tmpl w:val="01D82FFC"/>
    <w:lvl w:ilvl="0" w:tplc="7760FFF4">
      <w:start w:val="3"/>
      <w:numFmt w:val="decimal"/>
      <w:lvlText w:val="%1"/>
      <w:lvlJc w:val="left"/>
      <w:pPr>
        <w:ind w:left="720" w:hanging="360"/>
      </w:pPr>
      <w:rPr>
        <w:rFonts w:ascii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9"/>
  </w:num>
  <w:num w:numId="3">
    <w:abstractNumId w:val="11"/>
  </w:num>
  <w:num w:numId="4">
    <w:abstractNumId w:val="5"/>
  </w:num>
  <w:num w:numId="5">
    <w:abstractNumId w:val="21"/>
  </w:num>
  <w:num w:numId="6">
    <w:abstractNumId w:val="2"/>
  </w:num>
  <w:num w:numId="7">
    <w:abstractNumId w:val="16"/>
  </w:num>
  <w:num w:numId="8">
    <w:abstractNumId w:val="6"/>
  </w:num>
  <w:num w:numId="9">
    <w:abstractNumId w:val="17"/>
  </w:num>
  <w:num w:numId="10">
    <w:abstractNumId w:val="12"/>
  </w:num>
  <w:num w:numId="11">
    <w:abstractNumId w:val="7"/>
  </w:num>
  <w:num w:numId="12">
    <w:abstractNumId w:val="8"/>
  </w:num>
  <w:num w:numId="13">
    <w:abstractNumId w:val="1"/>
  </w:num>
  <w:num w:numId="14">
    <w:abstractNumId w:val="4"/>
  </w:num>
  <w:num w:numId="15">
    <w:abstractNumId w:val="13"/>
  </w:num>
  <w:num w:numId="16">
    <w:abstractNumId w:val="3"/>
  </w:num>
  <w:num w:numId="17">
    <w:abstractNumId w:val="18"/>
  </w:num>
  <w:num w:numId="18">
    <w:abstractNumId w:val="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6E"/>
    <w:rsid w:val="00000836"/>
    <w:rsid w:val="0000283F"/>
    <w:rsid w:val="000060DE"/>
    <w:rsid w:val="00014494"/>
    <w:rsid w:val="00015D27"/>
    <w:rsid w:val="000235B5"/>
    <w:rsid w:val="00024706"/>
    <w:rsid w:val="00024985"/>
    <w:rsid w:val="00025FE3"/>
    <w:rsid w:val="00026218"/>
    <w:rsid w:val="0002715A"/>
    <w:rsid w:val="0003149B"/>
    <w:rsid w:val="00031BC7"/>
    <w:rsid w:val="000366DB"/>
    <w:rsid w:val="000372EF"/>
    <w:rsid w:val="000413C0"/>
    <w:rsid w:val="000413CA"/>
    <w:rsid w:val="00042B31"/>
    <w:rsid w:val="000553DA"/>
    <w:rsid w:val="00057689"/>
    <w:rsid w:val="00057A63"/>
    <w:rsid w:val="00057FDC"/>
    <w:rsid w:val="00063794"/>
    <w:rsid w:val="00066A29"/>
    <w:rsid w:val="00066A3E"/>
    <w:rsid w:val="00067F75"/>
    <w:rsid w:val="000704A5"/>
    <w:rsid w:val="0007205A"/>
    <w:rsid w:val="000738CC"/>
    <w:rsid w:val="00074D5D"/>
    <w:rsid w:val="0008206A"/>
    <w:rsid w:val="00082BE8"/>
    <w:rsid w:val="00082D7E"/>
    <w:rsid w:val="00083CD7"/>
    <w:rsid w:val="00083FBB"/>
    <w:rsid w:val="0008638B"/>
    <w:rsid w:val="000866FE"/>
    <w:rsid w:val="0009604C"/>
    <w:rsid w:val="0009605D"/>
    <w:rsid w:val="000A17D5"/>
    <w:rsid w:val="000A32AE"/>
    <w:rsid w:val="000B2132"/>
    <w:rsid w:val="000B7C84"/>
    <w:rsid w:val="000C5FB2"/>
    <w:rsid w:val="000C7A8C"/>
    <w:rsid w:val="000D5A81"/>
    <w:rsid w:val="000D5D13"/>
    <w:rsid w:val="000E106F"/>
    <w:rsid w:val="000E1303"/>
    <w:rsid w:val="000F0327"/>
    <w:rsid w:val="00103278"/>
    <w:rsid w:val="00116469"/>
    <w:rsid w:val="00124C8A"/>
    <w:rsid w:val="00131093"/>
    <w:rsid w:val="00131792"/>
    <w:rsid w:val="0014127A"/>
    <w:rsid w:val="001417DA"/>
    <w:rsid w:val="00143E2F"/>
    <w:rsid w:val="00152292"/>
    <w:rsid w:val="00152B2B"/>
    <w:rsid w:val="0016146D"/>
    <w:rsid w:val="0016573D"/>
    <w:rsid w:val="00166709"/>
    <w:rsid w:val="001706DA"/>
    <w:rsid w:val="00170A6C"/>
    <w:rsid w:val="00174F04"/>
    <w:rsid w:val="0017525D"/>
    <w:rsid w:val="00183914"/>
    <w:rsid w:val="00187568"/>
    <w:rsid w:val="001875D2"/>
    <w:rsid w:val="001913CD"/>
    <w:rsid w:val="00195281"/>
    <w:rsid w:val="001A0975"/>
    <w:rsid w:val="001A0E50"/>
    <w:rsid w:val="001A1EB4"/>
    <w:rsid w:val="001A6F47"/>
    <w:rsid w:val="001A728D"/>
    <w:rsid w:val="001B0880"/>
    <w:rsid w:val="001B12ED"/>
    <w:rsid w:val="001B1301"/>
    <w:rsid w:val="001B24EB"/>
    <w:rsid w:val="001B7DC7"/>
    <w:rsid w:val="001C5E7A"/>
    <w:rsid w:val="001E7F0B"/>
    <w:rsid w:val="001F2DB9"/>
    <w:rsid w:val="001F57F7"/>
    <w:rsid w:val="001F7895"/>
    <w:rsid w:val="00201339"/>
    <w:rsid w:val="002021BB"/>
    <w:rsid w:val="002032B6"/>
    <w:rsid w:val="00205FFE"/>
    <w:rsid w:val="00206AD0"/>
    <w:rsid w:val="00207302"/>
    <w:rsid w:val="0021096A"/>
    <w:rsid w:val="002144A9"/>
    <w:rsid w:val="00217127"/>
    <w:rsid w:val="00217AB4"/>
    <w:rsid w:val="00217F17"/>
    <w:rsid w:val="002211B9"/>
    <w:rsid w:val="00225D92"/>
    <w:rsid w:val="002276B8"/>
    <w:rsid w:val="00227C3E"/>
    <w:rsid w:val="00234123"/>
    <w:rsid w:val="00234239"/>
    <w:rsid w:val="002421EC"/>
    <w:rsid w:val="00250CB1"/>
    <w:rsid w:val="002527B5"/>
    <w:rsid w:val="00263FB9"/>
    <w:rsid w:val="002651C4"/>
    <w:rsid w:val="00276870"/>
    <w:rsid w:val="00282E9A"/>
    <w:rsid w:val="002A74B5"/>
    <w:rsid w:val="002B5F7A"/>
    <w:rsid w:val="002B660C"/>
    <w:rsid w:val="002C0668"/>
    <w:rsid w:val="002C4C8F"/>
    <w:rsid w:val="002E06A2"/>
    <w:rsid w:val="002E16A4"/>
    <w:rsid w:val="002E28A9"/>
    <w:rsid w:val="002E7D61"/>
    <w:rsid w:val="002F44BD"/>
    <w:rsid w:val="00303FFE"/>
    <w:rsid w:val="00320A54"/>
    <w:rsid w:val="0032241C"/>
    <w:rsid w:val="00322A39"/>
    <w:rsid w:val="00323F8D"/>
    <w:rsid w:val="00325DB4"/>
    <w:rsid w:val="0033340A"/>
    <w:rsid w:val="00333988"/>
    <w:rsid w:val="00334600"/>
    <w:rsid w:val="00335BF9"/>
    <w:rsid w:val="00343CD7"/>
    <w:rsid w:val="00345374"/>
    <w:rsid w:val="003475B9"/>
    <w:rsid w:val="00356612"/>
    <w:rsid w:val="00366F57"/>
    <w:rsid w:val="00380944"/>
    <w:rsid w:val="00381AF5"/>
    <w:rsid w:val="00384706"/>
    <w:rsid w:val="00393B85"/>
    <w:rsid w:val="00393F4A"/>
    <w:rsid w:val="003A0F96"/>
    <w:rsid w:val="003A1825"/>
    <w:rsid w:val="003B7B69"/>
    <w:rsid w:val="003D42AC"/>
    <w:rsid w:val="003E24CB"/>
    <w:rsid w:val="003E5094"/>
    <w:rsid w:val="003F3C49"/>
    <w:rsid w:val="00402ED4"/>
    <w:rsid w:val="00405CB1"/>
    <w:rsid w:val="00406DDE"/>
    <w:rsid w:val="00416087"/>
    <w:rsid w:val="00422830"/>
    <w:rsid w:val="00424D7F"/>
    <w:rsid w:val="00426661"/>
    <w:rsid w:val="00434054"/>
    <w:rsid w:val="00435F2E"/>
    <w:rsid w:val="00443213"/>
    <w:rsid w:val="00464532"/>
    <w:rsid w:val="00465CB7"/>
    <w:rsid w:val="00466113"/>
    <w:rsid w:val="00470466"/>
    <w:rsid w:val="00471430"/>
    <w:rsid w:val="00473762"/>
    <w:rsid w:val="00477AA5"/>
    <w:rsid w:val="00481FDD"/>
    <w:rsid w:val="00483376"/>
    <w:rsid w:val="00486F1F"/>
    <w:rsid w:val="00487F58"/>
    <w:rsid w:val="00493594"/>
    <w:rsid w:val="004937A0"/>
    <w:rsid w:val="0049712D"/>
    <w:rsid w:val="004A3F63"/>
    <w:rsid w:val="004A5FDD"/>
    <w:rsid w:val="004A7359"/>
    <w:rsid w:val="004B2FA9"/>
    <w:rsid w:val="004D421F"/>
    <w:rsid w:val="004D5F41"/>
    <w:rsid w:val="004D72D5"/>
    <w:rsid w:val="004E0BA8"/>
    <w:rsid w:val="004E120F"/>
    <w:rsid w:val="004E3C32"/>
    <w:rsid w:val="004E66A8"/>
    <w:rsid w:val="004F01FF"/>
    <w:rsid w:val="00503C23"/>
    <w:rsid w:val="0051132A"/>
    <w:rsid w:val="005120AF"/>
    <w:rsid w:val="005175BB"/>
    <w:rsid w:val="005178AE"/>
    <w:rsid w:val="005260D9"/>
    <w:rsid w:val="00526820"/>
    <w:rsid w:val="00532E9D"/>
    <w:rsid w:val="00533D1F"/>
    <w:rsid w:val="0054303C"/>
    <w:rsid w:val="00546349"/>
    <w:rsid w:val="00551FE7"/>
    <w:rsid w:val="00557425"/>
    <w:rsid w:val="00562F23"/>
    <w:rsid w:val="00572B48"/>
    <w:rsid w:val="00585EEB"/>
    <w:rsid w:val="0059330D"/>
    <w:rsid w:val="00594C01"/>
    <w:rsid w:val="00594D95"/>
    <w:rsid w:val="005A4AE7"/>
    <w:rsid w:val="005A65FB"/>
    <w:rsid w:val="005A6F7E"/>
    <w:rsid w:val="005B226B"/>
    <w:rsid w:val="005B64B4"/>
    <w:rsid w:val="005C11F7"/>
    <w:rsid w:val="005D05F7"/>
    <w:rsid w:val="005D1781"/>
    <w:rsid w:val="005D3406"/>
    <w:rsid w:val="005E101B"/>
    <w:rsid w:val="005E3B27"/>
    <w:rsid w:val="005E3F5D"/>
    <w:rsid w:val="005E64B1"/>
    <w:rsid w:val="005F0527"/>
    <w:rsid w:val="005F2234"/>
    <w:rsid w:val="005F5439"/>
    <w:rsid w:val="006002E8"/>
    <w:rsid w:val="00601826"/>
    <w:rsid w:val="006078D1"/>
    <w:rsid w:val="00610300"/>
    <w:rsid w:val="00610D9D"/>
    <w:rsid w:val="00615343"/>
    <w:rsid w:val="006159B1"/>
    <w:rsid w:val="00615A57"/>
    <w:rsid w:val="00622589"/>
    <w:rsid w:val="0062466A"/>
    <w:rsid w:val="006258A9"/>
    <w:rsid w:val="0062604B"/>
    <w:rsid w:val="00626C44"/>
    <w:rsid w:val="006277CB"/>
    <w:rsid w:val="0064304E"/>
    <w:rsid w:val="00647747"/>
    <w:rsid w:val="00651A4F"/>
    <w:rsid w:val="006578C3"/>
    <w:rsid w:val="00657BB3"/>
    <w:rsid w:val="0066206D"/>
    <w:rsid w:val="006677AC"/>
    <w:rsid w:val="0067173A"/>
    <w:rsid w:val="006754E6"/>
    <w:rsid w:val="00683B3E"/>
    <w:rsid w:val="0068658F"/>
    <w:rsid w:val="00695603"/>
    <w:rsid w:val="006A54DF"/>
    <w:rsid w:val="006B0BBE"/>
    <w:rsid w:val="006B1E34"/>
    <w:rsid w:val="006B4C87"/>
    <w:rsid w:val="006C063F"/>
    <w:rsid w:val="006C5110"/>
    <w:rsid w:val="006C6EFC"/>
    <w:rsid w:val="006C7339"/>
    <w:rsid w:val="006D6D9E"/>
    <w:rsid w:val="006E7838"/>
    <w:rsid w:val="006F27CE"/>
    <w:rsid w:val="00700FF4"/>
    <w:rsid w:val="007034C5"/>
    <w:rsid w:val="00703EB1"/>
    <w:rsid w:val="00704BD3"/>
    <w:rsid w:val="007075F6"/>
    <w:rsid w:val="00707667"/>
    <w:rsid w:val="007110D2"/>
    <w:rsid w:val="007129D6"/>
    <w:rsid w:val="0071575E"/>
    <w:rsid w:val="007329A2"/>
    <w:rsid w:val="0074565B"/>
    <w:rsid w:val="00757D16"/>
    <w:rsid w:val="00757E6E"/>
    <w:rsid w:val="00763725"/>
    <w:rsid w:val="007676EE"/>
    <w:rsid w:val="00775770"/>
    <w:rsid w:val="007802F8"/>
    <w:rsid w:val="00781FD0"/>
    <w:rsid w:val="0078355E"/>
    <w:rsid w:val="00784A7E"/>
    <w:rsid w:val="0078793E"/>
    <w:rsid w:val="00797A77"/>
    <w:rsid w:val="007A2AAC"/>
    <w:rsid w:val="007A2E11"/>
    <w:rsid w:val="007A68CD"/>
    <w:rsid w:val="007A690A"/>
    <w:rsid w:val="007B4D39"/>
    <w:rsid w:val="007C2044"/>
    <w:rsid w:val="007D4CC2"/>
    <w:rsid w:val="007D6666"/>
    <w:rsid w:val="007D7F69"/>
    <w:rsid w:val="007E0BE6"/>
    <w:rsid w:val="007E3C7F"/>
    <w:rsid w:val="007E6746"/>
    <w:rsid w:val="00800E2A"/>
    <w:rsid w:val="00801887"/>
    <w:rsid w:val="008067DB"/>
    <w:rsid w:val="00813066"/>
    <w:rsid w:val="00817D39"/>
    <w:rsid w:val="008308D7"/>
    <w:rsid w:val="0083220B"/>
    <w:rsid w:val="00836DC1"/>
    <w:rsid w:val="00841D3D"/>
    <w:rsid w:val="00841F40"/>
    <w:rsid w:val="008600A7"/>
    <w:rsid w:val="00864624"/>
    <w:rsid w:val="00865313"/>
    <w:rsid w:val="008674BD"/>
    <w:rsid w:val="00874C5C"/>
    <w:rsid w:val="00874CFA"/>
    <w:rsid w:val="00875954"/>
    <w:rsid w:val="008859BC"/>
    <w:rsid w:val="008920E4"/>
    <w:rsid w:val="008A0164"/>
    <w:rsid w:val="008A090C"/>
    <w:rsid w:val="008B53E8"/>
    <w:rsid w:val="008B6C45"/>
    <w:rsid w:val="008B6C63"/>
    <w:rsid w:val="008D466B"/>
    <w:rsid w:val="008D56A1"/>
    <w:rsid w:val="008D6072"/>
    <w:rsid w:val="008F0CB7"/>
    <w:rsid w:val="008F1FD3"/>
    <w:rsid w:val="00904E2C"/>
    <w:rsid w:val="009051D8"/>
    <w:rsid w:val="00905B06"/>
    <w:rsid w:val="009075CE"/>
    <w:rsid w:val="00910B30"/>
    <w:rsid w:val="009110D4"/>
    <w:rsid w:val="00916F5C"/>
    <w:rsid w:val="009219AA"/>
    <w:rsid w:val="009237A0"/>
    <w:rsid w:val="009330A3"/>
    <w:rsid w:val="00940D02"/>
    <w:rsid w:val="00950761"/>
    <w:rsid w:val="00952011"/>
    <w:rsid w:val="00954D58"/>
    <w:rsid w:val="00954E5D"/>
    <w:rsid w:val="00966E75"/>
    <w:rsid w:val="009706D0"/>
    <w:rsid w:val="00977C37"/>
    <w:rsid w:val="0098662D"/>
    <w:rsid w:val="009A5DC9"/>
    <w:rsid w:val="009B1989"/>
    <w:rsid w:val="009B529D"/>
    <w:rsid w:val="009B66F2"/>
    <w:rsid w:val="009D6793"/>
    <w:rsid w:val="009F2A59"/>
    <w:rsid w:val="009F55DF"/>
    <w:rsid w:val="009F6825"/>
    <w:rsid w:val="00A01363"/>
    <w:rsid w:val="00A05AC4"/>
    <w:rsid w:val="00A07C2B"/>
    <w:rsid w:val="00A13FBA"/>
    <w:rsid w:val="00A14AEF"/>
    <w:rsid w:val="00A16AA9"/>
    <w:rsid w:val="00A23804"/>
    <w:rsid w:val="00A24417"/>
    <w:rsid w:val="00A25D01"/>
    <w:rsid w:val="00A264B8"/>
    <w:rsid w:val="00A26E65"/>
    <w:rsid w:val="00A31A28"/>
    <w:rsid w:val="00A32012"/>
    <w:rsid w:val="00A3372D"/>
    <w:rsid w:val="00A37593"/>
    <w:rsid w:val="00A440BD"/>
    <w:rsid w:val="00A4516E"/>
    <w:rsid w:val="00A51C5A"/>
    <w:rsid w:val="00A52A97"/>
    <w:rsid w:val="00A541F3"/>
    <w:rsid w:val="00A566AF"/>
    <w:rsid w:val="00A60F91"/>
    <w:rsid w:val="00A6501D"/>
    <w:rsid w:val="00A66262"/>
    <w:rsid w:val="00A66731"/>
    <w:rsid w:val="00A764D9"/>
    <w:rsid w:val="00A76F60"/>
    <w:rsid w:val="00A77ECE"/>
    <w:rsid w:val="00A846CA"/>
    <w:rsid w:val="00A90C47"/>
    <w:rsid w:val="00A91151"/>
    <w:rsid w:val="00A9169B"/>
    <w:rsid w:val="00A91E21"/>
    <w:rsid w:val="00A94284"/>
    <w:rsid w:val="00A95790"/>
    <w:rsid w:val="00AA2A27"/>
    <w:rsid w:val="00AB15E8"/>
    <w:rsid w:val="00AB1CF9"/>
    <w:rsid w:val="00AB3D34"/>
    <w:rsid w:val="00AB5D4F"/>
    <w:rsid w:val="00AC55B7"/>
    <w:rsid w:val="00AD3B8E"/>
    <w:rsid w:val="00AD745D"/>
    <w:rsid w:val="00AE2EF6"/>
    <w:rsid w:val="00AE34A9"/>
    <w:rsid w:val="00AF677C"/>
    <w:rsid w:val="00AF70B9"/>
    <w:rsid w:val="00B02188"/>
    <w:rsid w:val="00B046F2"/>
    <w:rsid w:val="00B075D5"/>
    <w:rsid w:val="00B10BD6"/>
    <w:rsid w:val="00B146E5"/>
    <w:rsid w:val="00B43495"/>
    <w:rsid w:val="00B475AE"/>
    <w:rsid w:val="00B50EF7"/>
    <w:rsid w:val="00B54BE1"/>
    <w:rsid w:val="00B65919"/>
    <w:rsid w:val="00B7165B"/>
    <w:rsid w:val="00B71FB1"/>
    <w:rsid w:val="00B74234"/>
    <w:rsid w:val="00B82B87"/>
    <w:rsid w:val="00B84B93"/>
    <w:rsid w:val="00B922E7"/>
    <w:rsid w:val="00B9383D"/>
    <w:rsid w:val="00BA177C"/>
    <w:rsid w:val="00BA3497"/>
    <w:rsid w:val="00BA7B2C"/>
    <w:rsid w:val="00BA7ECB"/>
    <w:rsid w:val="00BB2976"/>
    <w:rsid w:val="00BC012C"/>
    <w:rsid w:val="00BC4DB2"/>
    <w:rsid w:val="00BC7860"/>
    <w:rsid w:val="00BD01FE"/>
    <w:rsid w:val="00BD49B0"/>
    <w:rsid w:val="00BE543C"/>
    <w:rsid w:val="00BE6583"/>
    <w:rsid w:val="00BF53FB"/>
    <w:rsid w:val="00C03294"/>
    <w:rsid w:val="00C10375"/>
    <w:rsid w:val="00C14933"/>
    <w:rsid w:val="00C156F7"/>
    <w:rsid w:val="00C204D2"/>
    <w:rsid w:val="00C212A1"/>
    <w:rsid w:val="00C2317D"/>
    <w:rsid w:val="00C25B17"/>
    <w:rsid w:val="00C365A2"/>
    <w:rsid w:val="00C40EAE"/>
    <w:rsid w:val="00C55223"/>
    <w:rsid w:val="00C558C7"/>
    <w:rsid w:val="00C628A0"/>
    <w:rsid w:val="00C66E59"/>
    <w:rsid w:val="00C72BF2"/>
    <w:rsid w:val="00C74903"/>
    <w:rsid w:val="00C84BE2"/>
    <w:rsid w:val="00C908CF"/>
    <w:rsid w:val="00C91BB8"/>
    <w:rsid w:val="00C92E02"/>
    <w:rsid w:val="00C92F5D"/>
    <w:rsid w:val="00C96F33"/>
    <w:rsid w:val="00C97CCC"/>
    <w:rsid w:val="00CA0A4C"/>
    <w:rsid w:val="00CA35A2"/>
    <w:rsid w:val="00CA3B51"/>
    <w:rsid w:val="00CA461B"/>
    <w:rsid w:val="00CD1EBF"/>
    <w:rsid w:val="00CD2DBA"/>
    <w:rsid w:val="00CD5C83"/>
    <w:rsid w:val="00CD6108"/>
    <w:rsid w:val="00CD6721"/>
    <w:rsid w:val="00CD6F1C"/>
    <w:rsid w:val="00CD7DD0"/>
    <w:rsid w:val="00CE1B76"/>
    <w:rsid w:val="00CE2060"/>
    <w:rsid w:val="00CF5397"/>
    <w:rsid w:val="00CF67B5"/>
    <w:rsid w:val="00CF6849"/>
    <w:rsid w:val="00D00A09"/>
    <w:rsid w:val="00D03D0A"/>
    <w:rsid w:val="00D0434B"/>
    <w:rsid w:val="00D04E54"/>
    <w:rsid w:val="00D1331D"/>
    <w:rsid w:val="00D179E3"/>
    <w:rsid w:val="00D17E38"/>
    <w:rsid w:val="00D212B7"/>
    <w:rsid w:val="00D213A2"/>
    <w:rsid w:val="00D348B5"/>
    <w:rsid w:val="00D43B72"/>
    <w:rsid w:val="00D53A14"/>
    <w:rsid w:val="00D63908"/>
    <w:rsid w:val="00D64CE4"/>
    <w:rsid w:val="00D702D7"/>
    <w:rsid w:val="00D92180"/>
    <w:rsid w:val="00D95AEE"/>
    <w:rsid w:val="00DA2E2F"/>
    <w:rsid w:val="00DA5FEA"/>
    <w:rsid w:val="00DB4EE3"/>
    <w:rsid w:val="00DB57D4"/>
    <w:rsid w:val="00DB5806"/>
    <w:rsid w:val="00DB71FE"/>
    <w:rsid w:val="00DC17C1"/>
    <w:rsid w:val="00DC1B5E"/>
    <w:rsid w:val="00DC3FBC"/>
    <w:rsid w:val="00DC4D9B"/>
    <w:rsid w:val="00DC5D13"/>
    <w:rsid w:val="00DC697D"/>
    <w:rsid w:val="00DE2701"/>
    <w:rsid w:val="00DE2AA9"/>
    <w:rsid w:val="00DE46BB"/>
    <w:rsid w:val="00DE64B5"/>
    <w:rsid w:val="00DF34DB"/>
    <w:rsid w:val="00DF3C54"/>
    <w:rsid w:val="00DF65E5"/>
    <w:rsid w:val="00DF7189"/>
    <w:rsid w:val="00E03E89"/>
    <w:rsid w:val="00E11320"/>
    <w:rsid w:val="00E12A90"/>
    <w:rsid w:val="00E23CCC"/>
    <w:rsid w:val="00E24EB0"/>
    <w:rsid w:val="00E26C6D"/>
    <w:rsid w:val="00E27DE4"/>
    <w:rsid w:val="00E359BA"/>
    <w:rsid w:val="00E4706E"/>
    <w:rsid w:val="00E53A7F"/>
    <w:rsid w:val="00E566E5"/>
    <w:rsid w:val="00E5765C"/>
    <w:rsid w:val="00E65FD9"/>
    <w:rsid w:val="00E720D3"/>
    <w:rsid w:val="00E92F41"/>
    <w:rsid w:val="00E939A9"/>
    <w:rsid w:val="00EA514B"/>
    <w:rsid w:val="00EA6D74"/>
    <w:rsid w:val="00EA7521"/>
    <w:rsid w:val="00EA75A1"/>
    <w:rsid w:val="00EB0E0F"/>
    <w:rsid w:val="00EB0E9C"/>
    <w:rsid w:val="00EB10DE"/>
    <w:rsid w:val="00EB157F"/>
    <w:rsid w:val="00EB2E99"/>
    <w:rsid w:val="00EB53AF"/>
    <w:rsid w:val="00ED1AB6"/>
    <w:rsid w:val="00ED7330"/>
    <w:rsid w:val="00EE067D"/>
    <w:rsid w:val="00EE07D5"/>
    <w:rsid w:val="00EE22C3"/>
    <w:rsid w:val="00EE4B2C"/>
    <w:rsid w:val="00EF5AF7"/>
    <w:rsid w:val="00F008B1"/>
    <w:rsid w:val="00F10B47"/>
    <w:rsid w:val="00F132CE"/>
    <w:rsid w:val="00F14DF9"/>
    <w:rsid w:val="00F1661A"/>
    <w:rsid w:val="00F168AB"/>
    <w:rsid w:val="00F20F08"/>
    <w:rsid w:val="00F23775"/>
    <w:rsid w:val="00F25F58"/>
    <w:rsid w:val="00F27B4C"/>
    <w:rsid w:val="00F360F1"/>
    <w:rsid w:val="00F40CD7"/>
    <w:rsid w:val="00F449B9"/>
    <w:rsid w:val="00F46F6D"/>
    <w:rsid w:val="00F50E07"/>
    <w:rsid w:val="00F54504"/>
    <w:rsid w:val="00F55FBC"/>
    <w:rsid w:val="00F574AB"/>
    <w:rsid w:val="00F720E3"/>
    <w:rsid w:val="00F7651B"/>
    <w:rsid w:val="00F76D84"/>
    <w:rsid w:val="00F827E7"/>
    <w:rsid w:val="00F91CBC"/>
    <w:rsid w:val="00FA7674"/>
    <w:rsid w:val="00FB31FF"/>
    <w:rsid w:val="00FB4A75"/>
    <w:rsid w:val="00FC19A6"/>
    <w:rsid w:val="00FC56A9"/>
    <w:rsid w:val="00FC749F"/>
    <w:rsid w:val="00FD5C6D"/>
    <w:rsid w:val="00FD6F06"/>
    <w:rsid w:val="00FE7D1F"/>
    <w:rsid w:val="00FF1057"/>
    <w:rsid w:val="00FF11E2"/>
    <w:rsid w:val="00FF1A57"/>
    <w:rsid w:val="00FF3593"/>
    <w:rsid w:val="00FF5499"/>
    <w:rsid w:val="00FF7D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1ECAC"/>
  <w15:docId w15:val="{9F48DE6B-874A-4624-96DF-ECE42892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34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529D"/>
    <w:pPr>
      <w:ind w:left="720"/>
      <w:contextualSpacing/>
    </w:pPr>
  </w:style>
  <w:style w:type="paragraph" w:styleId="Testofumetto">
    <w:name w:val="Balloon Text"/>
    <w:basedOn w:val="Normale"/>
    <w:link w:val="TestofumettoCarattere"/>
    <w:uiPriority w:val="99"/>
    <w:semiHidden/>
    <w:unhideWhenUsed/>
    <w:rsid w:val="00A764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764D9"/>
    <w:rPr>
      <w:rFonts w:ascii="Segoe UI" w:hAnsi="Segoe UI" w:cs="Segoe UI"/>
      <w:sz w:val="18"/>
      <w:szCs w:val="18"/>
    </w:rPr>
  </w:style>
  <w:style w:type="paragraph" w:styleId="Corpotesto">
    <w:name w:val="Body Text"/>
    <w:basedOn w:val="Normale"/>
    <w:link w:val="CorpotestoCarattere"/>
    <w:rsid w:val="00D03D0A"/>
    <w:pPr>
      <w:spacing w:after="120" w:line="460" w:lineRule="exact"/>
      <w:ind w:right="794"/>
      <w:jc w:val="both"/>
    </w:pPr>
    <w:rPr>
      <w:rFonts w:ascii="CG Times" w:eastAsia="Times New Roman" w:hAnsi="CG Times" w:cs="Times New Roman"/>
      <w:sz w:val="20"/>
      <w:szCs w:val="20"/>
      <w:lang w:eastAsia="it-IT"/>
    </w:rPr>
  </w:style>
  <w:style w:type="character" w:customStyle="1" w:styleId="CorpotestoCarattere">
    <w:name w:val="Corpo testo Carattere"/>
    <w:basedOn w:val="Carpredefinitoparagrafo"/>
    <w:link w:val="Corpotesto"/>
    <w:rsid w:val="00D03D0A"/>
    <w:rPr>
      <w:rFonts w:ascii="CG Times" w:eastAsia="Times New Roman" w:hAnsi="CG Times" w:cs="Times New Roman"/>
      <w:sz w:val="20"/>
      <w:szCs w:val="20"/>
      <w:lang w:eastAsia="it-IT"/>
    </w:rPr>
  </w:style>
  <w:style w:type="paragraph" w:styleId="Testonotaapidipagina">
    <w:name w:val="footnote text"/>
    <w:basedOn w:val="Normale"/>
    <w:link w:val="TestonotaapidipaginaCarattere"/>
    <w:uiPriority w:val="99"/>
    <w:unhideWhenUsed/>
    <w:rsid w:val="00CF67B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F67B5"/>
    <w:rPr>
      <w:sz w:val="20"/>
      <w:szCs w:val="20"/>
    </w:rPr>
  </w:style>
  <w:style w:type="character" w:styleId="Rimandonotaapidipagina">
    <w:name w:val="footnote reference"/>
    <w:basedOn w:val="Carpredefinitoparagrafo"/>
    <w:uiPriority w:val="99"/>
    <w:semiHidden/>
    <w:unhideWhenUsed/>
    <w:rsid w:val="00CF67B5"/>
    <w:rPr>
      <w:vertAlign w:val="superscript"/>
    </w:rPr>
  </w:style>
  <w:style w:type="paragraph" w:customStyle="1" w:styleId="Textbody">
    <w:name w:val="Text body"/>
    <w:basedOn w:val="Normale"/>
    <w:rsid w:val="00781FD0"/>
    <w:pPr>
      <w:widowControl w:val="0"/>
      <w:suppressAutoHyphens/>
      <w:autoSpaceDN w:val="0"/>
      <w:spacing w:after="120" w:line="240" w:lineRule="auto"/>
      <w:textAlignment w:val="baseline"/>
    </w:pPr>
    <w:rPr>
      <w:rFonts w:ascii="Times New Roman" w:eastAsia="Arial Unicode MS" w:hAnsi="Times New Roman" w:cs="Arial Unicode MS"/>
      <w:kern w:val="3"/>
      <w:sz w:val="24"/>
      <w:szCs w:val="24"/>
      <w:lang w:eastAsia="zh-CN" w:bidi="hi-IN"/>
    </w:rPr>
  </w:style>
  <w:style w:type="character" w:styleId="Enfasigrassetto">
    <w:name w:val="Strong"/>
    <w:basedOn w:val="Carpredefinitoparagrafo"/>
    <w:uiPriority w:val="22"/>
    <w:qFormat/>
    <w:rsid w:val="00864624"/>
    <w:rPr>
      <w:b/>
      <w:bCs/>
    </w:rPr>
  </w:style>
  <w:style w:type="table" w:styleId="Sfondochiaro-Colore1">
    <w:name w:val="Light Shading Accent 1"/>
    <w:basedOn w:val="Tabellanormale"/>
    <w:uiPriority w:val="60"/>
    <w:rsid w:val="0086462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Intestazione">
    <w:name w:val="header"/>
    <w:basedOn w:val="Normale"/>
    <w:link w:val="IntestazioneCarattere"/>
    <w:uiPriority w:val="99"/>
    <w:unhideWhenUsed/>
    <w:rsid w:val="00C204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04D2"/>
  </w:style>
  <w:style w:type="paragraph" w:styleId="Pidipagina">
    <w:name w:val="footer"/>
    <w:basedOn w:val="Normale"/>
    <w:link w:val="PidipaginaCarattere"/>
    <w:uiPriority w:val="99"/>
    <w:unhideWhenUsed/>
    <w:rsid w:val="00C204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9896">
      <w:bodyDiv w:val="1"/>
      <w:marLeft w:val="0"/>
      <w:marRight w:val="0"/>
      <w:marTop w:val="0"/>
      <w:marBottom w:val="0"/>
      <w:divBdr>
        <w:top w:val="none" w:sz="0" w:space="0" w:color="auto"/>
        <w:left w:val="none" w:sz="0" w:space="0" w:color="auto"/>
        <w:bottom w:val="none" w:sz="0" w:space="0" w:color="auto"/>
        <w:right w:val="none" w:sz="0" w:space="0" w:color="auto"/>
      </w:divBdr>
    </w:div>
    <w:div w:id="148179327">
      <w:bodyDiv w:val="1"/>
      <w:marLeft w:val="0"/>
      <w:marRight w:val="0"/>
      <w:marTop w:val="0"/>
      <w:marBottom w:val="0"/>
      <w:divBdr>
        <w:top w:val="none" w:sz="0" w:space="0" w:color="auto"/>
        <w:left w:val="none" w:sz="0" w:space="0" w:color="auto"/>
        <w:bottom w:val="none" w:sz="0" w:space="0" w:color="auto"/>
        <w:right w:val="none" w:sz="0" w:space="0" w:color="auto"/>
      </w:divBdr>
    </w:div>
    <w:div w:id="661004167">
      <w:bodyDiv w:val="1"/>
      <w:marLeft w:val="0"/>
      <w:marRight w:val="0"/>
      <w:marTop w:val="0"/>
      <w:marBottom w:val="0"/>
      <w:divBdr>
        <w:top w:val="none" w:sz="0" w:space="0" w:color="auto"/>
        <w:left w:val="none" w:sz="0" w:space="0" w:color="auto"/>
        <w:bottom w:val="none" w:sz="0" w:space="0" w:color="auto"/>
        <w:right w:val="none" w:sz="0" w:space="0" w:color="auto"/>
      </w:divBdr>
    </w:div>
    <w:div w:id="1544100418">
      <w:bodyDiv w:val="1"/>
      <w:marLeft w:val="0"/>
      <w:marRight w:val="0"/>
      <w:marTop w:val="0"/>
      <w:marBottom w:val="0"/>
      <w:divBdr>
        <w:top w:val="none" w:sz="0" w:space="0" w:color="auto"/>
        <w:left w:val="none" w:sz="0" w:space="0" w:color="auto"/>
        <w:bottom w:val="none" w:sz="0" w:space="0" w:color="auto"/>
        <w:right w:val="none" w:sz="0" w:space="0" w:color="auto"/>
      </w:divBdr>
    </w:div>
    <w:div w:id="165468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maosservatorio.it/home-pag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623E5-49C0-4111-BD7E-DF0D84F9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3153</Words>
  <Characters>17973</Characters>
  <Application>Microsoft Office Word</Application>
  <DocSecurity>4</DocSecurity>
  <Lines>149</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Min. Giustizia</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Avv Carbone</dc:creator>
  <cp:lastModifiedBy>Paola Moreschini Law Firm</cp:lastModifiedBy>
  <cp:revision>2</cp:revision>
  <cp:lastPrinted>2019-05-25T12:08:00Z</cp:lastPrinted>
  <dcterms:created xsi:type="dcterms:W3CDTF">2019-05-30T13:04:00Z</dcterms:created>
  <dcterms:modified xsi:type="dcterms:W3CDTF">2019-05-30T13:04:00Z</dcterms:modified>
</cp:coreProperties>
</file>