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EB" w:rsidRDefault="00D507EB" w:rsidP="0006672F">
      <w:pPr>
        <w:spacing w:line="240" w:lineRule="auto"/>
        <w:jc w:val="center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Note sul DDL n. 735, </w:t>
      </w:r>
      <w:proofErr w:type="gramStart"/>
      <w:r>
        <w:rPr>
          <w:rFonts w:ascii="Bell MT" w:hAnsi="Bell MT"/>
          <w:sz w:val="32"/>
          <w:szCs w:val="32"/>
        </w:rPr>
        <w:t xml:space="preserve">“ </w:t>
      </w:r>
      <w:proofErr w:type="spellStart"/>
      <w:r>
        <w:rPr>
          <w:rFonts w:ascii="Bell MT" w:hAnsi="Bell MT"/>
          <w:sz w:val="32"/>
          <w:szCs w:val="32"/>
        </w:rPr>
        <w:t>Pillon</w:t>
      </w:r>
      <w:proofErr w:type="spellEnd"/>
      <w:proofErr w:type="gramEnd"/>
      <w:r>
        <w:rPr>
          <w:rFonts w:ascii="Bell MT" w:hAnsi="Bell MT"/>
          <w:sz w:val="32"/>
          <w:szCs w:val="32"/>
        </w:rPr>
        <w:t>”, in materia di riforma del diritto di famiglia</w:t>
      </w:r>
    </w:p>
    <w:p w:rsidR="00D507EB" w:rsidRDefault="00D507EB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</w:p>
    <w:p w:rsidR="00D507EB" w:rsidRDefault="00D507EB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Con queste brevi note, magistrati e avvocati del gruppo di lavoro Famiglia e minori</w:t>
      </w:r>
      <w:r w:rsidR="00C671C6">
        <w:rPr>
          <w:rFonts w:ascii="Bell MT" w:hAnsi="Bell MT"/>
          <w:sz w:val="32"/>
          <w:szCs w:val="32"/>
        </w:rPr>
        <w:t xml:space="preserve"> dell’Osservatorio sulla giustizia civile di Milano intendono manifestare il più assoluto dissenso rispetto alla proposta di legge in oggetto, così come peraltro </w:t>
      </w:r>
      <w:r w:rsidR="00991194" w:rsidRPr="00CC1D72">
        <w:rPr>
          <w:rFonts w:ascii="Bell MT" w:hAnsi="Bell MT"/>
          <w:sz w:val="32"/>
          <w:szCs w:val="32"/>
        </w:rPr>
        <w:t>già espresso da più associazioni di</w:t>
      </w:r>
      <w:r w:rsidR="00C671C6" w:rsidRPr="00CC1D72">
        <w:rPr>
          <w:rFonts w:ascii="Bell MT" w:hAnsi="Bell MT"/>
          <w:sz w:val="32"/>
          <w:szCs w:val="32"/>
        </w:rPr>
        <w:t xml:space="preserve"> operatori sociali, avvocati e magistrati che si </w:t>
      </w:r>
      <w:r w:rsidR="00C671C6">
        <w:rPr>
          <w:rFonts w:ascii="Bell MT" w:hAnsi="Bell MT"/>
          <w:sz w:val="32"/>
          <w:szCs w:val="32"/>
        </w:rPr>
        <w:t>occupano d</w:t>
      </w:r>
      <w:r w:rsidR="00CC1D72">
        <w:rPr>
          <w:rFonts w:ascii="Bell MT" w:hAnsi="Bell MT"/>
          <w:sz w:val="32"/>
          <w:szCs w:val="32"/>
        </w:rPr>
        <w:t xml:space="preserve">i famiglia </w:t>
      </w:r>
      <w:r w:rsidR="00C671C6">
        <w:rPr>
          <w:rFonts w:ascii="Bell MT" w:hAnsi="Bell MT"/>
          <w:sz w:val="32"/>
          <w:szCs w:val="32"/>
        </w:rPr>
        <w:t>e minori.</w:t>
      </w:r>
    </w:p>
    <w:p w:rsidR="00243E31" w:rsidRDefault="00C671C6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Il disegno di legge in discussione in Parlamento pare ispirato alla affermazione dell’esclusivo potere dei genitori, nel momento della disgregazione della </w:t>
      </w:r>
      <w:proofErr w:type="gramStart"/>
      <w:r>
        <w:rPr>
          <w:rFonts w:ascii="Bell MT" w:hAnsi="Bell MT"/>
          <w:sz w:val="32"/>
          <w:szCs w:val="32"/>
        </w:rPr>
        <w:t>famiglia,  di</w:t>
      </w:r>
      <w:proofErr w:type="gramEnd"/>
      <w:r>
        <w:rPr>
          <w:rFonts w:ascii="Bell MT" w:hAnsi="Bell MT"/>
          <w:sz w:val="32"/>
          <w:szCs w:val="32"/>
        </w:rPr>
        <w:t xml:space="preserve"> decidere in ordine alla vita dei loro  figli , anche e soprattutto nei casi di maggior sofferenza dei</w:t>
      </w:r>
      <w:r w:rsidR="00243E31">
        <w:rPr>
          <w:rFonts w:ascii="Bell MT" w:hAnsi="Bell MT"/>
          <w:sz w:val="32"/>
          <w:szCs w:val="32"/>
        </w:rPr>
        <w:t xml:space="preserve"> minori e di significativa </w:t>
      </w:r>
      <w:r>
        <w:rPr>
          <w:rFonts w:ascii="Bell MT" w:hAnsi="Bell MT"/>
          <w:sz w:val="32"/>
          <w:szCs w:val="32"/>
        </w:rPr>
        <w:t xml:space="preserve"> difficoltà degli adulti sofferenti che di loro si occupano, in presenza di un grave conflitto tra questi ultimi, di difficoltà economiche  e di difficoltà relazionali </w:t>
      </w:r>
      <w:r w:rsidR="00243E31">
        <w:rPr>
          <w:rFonts w:ascii="Bell MT" w:hAnsi="Bell MT"/>
          <w:sz w:val="32"/>
          <w:szCs w:val="32"/>
        </w:rPr>
        <w:t>tra i minori e i genitori.</w:t>
      </w:r>
    </w:p>
    <w:p w:rsidR="007625BD" w:rsidRDefault="00243E31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Le riforme che dal 2006  si sono succedute in materia di affido condiviso</w:t>
      </w:r>
      <w:r w:rsidR="00C671C6">
        <w:rPr>
          <w:rFonts w:ascii="Bell MT" w:hAnsi="Bell MT"/>
          <w:sz w:val="32"/>
          <w:szCs w:val="32"/>
        </w:rPr>
        <w:t xml:space="preserve"> </w:t>
      </w:r>
      <w:r>
        <w:rPr>
          <w:rFonts w:ascii="Bell MT" w:hAnsi="Bell MT"/>
          <w:sz w:val="32"/>
          <w:szCs w:val="32"/>
        </w:rPr>
        <w:t>e di equiparazione dei diritti di tutti i minori, nati o non in costanza di matrimonio, si sono rivelate nel tempo adeguate alla realtà diversificata delle famiglie presente nel territorio italiano e europeo</w:t>
      </w:r>
      <w:r w:rsidR="003512B6">
        <w:rPr>
          <w:rFonts w:ascii="Bell MT" w:hAnsi="Bell MT"/>
          <w:sz w:val="32"/>
          <w:szCs w:val="32"/>
        </w:rPr>
        <w:t xml:space="preserve"> e ai</w:t>
      </w:r>
      <w:r>
        <w:rPr>
          <w:rFonts w:ascii="Bell MT" w:hAnsi="Bell MT"/>
          <w:sz w:val="32"/>
          <w:szCs w:val="32"/>
        </w:rPr>
        <w:t xml:space="preserve"> bisogni dei minori coinvolti nella separazione dei genitori; consentono oggi a giudici e avvocati specializzati  di poter nel corso dei giudizi stimolare interventi di sostegno e trasformativi nonché  di fornire risposte flessibili in ragione delle </w:t>
      </w:r>
      <w:r w:rsidR="007625BD">
        <w:rPr>
          <w:rFonts w:ascii="Bell MT" w:hAnsi="Bell MT"/>
          <w:sz w:val="32"/>
          <w:szCs w:val="32"/>
        </w:rPr>
        <w:t xml:space="preserve">accertate </w:t>
      </w:r>
      <w:r>
        <w:rPr>
          <w:rFonts w:ascii="Bell MT" w:hAnsi="Bell MT"/>
          <w:sz w:val="32"/>
          <w:szCs w:val="32"/>
        </w:rPr>
        <w:t xml:space="preserve">necessità emotive ed economiche </w:t>
      </w:r>
      <w:r w:rsidR="007625BD">
        <w:rPr>
          <w:rFonts w:ascii="Bell MT" w:hAnsi="Bell MT"/>
          <w:sz w:val="32"/>
          <w:szCs w:val="32"/>
        </w:rPr>
        <w:t>di ciascuna delle persone coinvolte.</w:t>
      </w:r>
    </w:p>
    <w:p w:rsidR="007625BD" w:rsidRDefault="00991194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Come</w:t>
      </w:r>
      <w:r w:rsidR="007625BD">
        <w:rPr>
          <w:rFonts w:ascii="Bell MT" w:hAnsi="Bell MT"/>
          <w:sz w:val="32"/>
          <w:szCs w:val="32"/>
        </w:rPr>
        <w:t xml:space="preserve"> tutti gli operatori in materia di diritto di famiglia sottolineano da anni, la materia delle persone e delle relazioni </w:t>
      </w:r>
      <w:r w:rsidR="003512B6">
        <w:rPr>
          <w:rFonts w:ascii="Bell MT" w:hAnsi="Bell MT"/>
          <w:sz w:val="32"/>
          <w:szCs w:val="32"/>
        </w:rPr>
        <w:t>tra loro richiede</w:t>
      </w:r>
      <w:r w:rsidR="007625BD">
        <w:rPr>
          <w:rFonts w:ascii="Bell MT" w:hAnsi="Bell MT"/>
          <w:sz w:val="32"/>
          <w:szCs w:val="32"/>
        </w:rPr>
        <w:t xml:space="preserve"> necessariamente specializzazione di avvocati e magistrati, da rinnovare costantemente e anche obbligatoriamente, proprio per la complessità della materia e la continua evoluzione della soc</w:t>
      </w:r>
      <w:r w:rsidR="003512B6">
        <w:rPr>
          <w:rFonts w:ascii="Bell MT" w:hAnsi="Bell MT"/>
          <w:sz w:val="32"/>
          <w:szCs w:val="32"/>
        </w:rPr>
        <w:t>ietà globalizzata</w:t>
      </w:r>
      <w:r w:rsidR="007625BD">
        <w:rPr>
          <w:rFonts w:ascii="Bell MT" w:hAnsi="Bell MT"/>
          <w:sz w:val="32"/>
          <w:szCs w:val="32"/>
        </w:rPr>
        <w:t xml:space="preserve"> in cui viviamo e dei bisogni delle persone; ciò non è ancora e il sistema giudiziario sul territorio italiano è caratterizzato da eccessiva distribuzione dei giudici che debbono occuparsi della materia delle persone, i quali necessariamente non possono acquisire la competenza e la professionalità necessaria per rispondere adeguatamente ai bisogni delle persone coinvolte nella disgregazione della famiglia. </w:t>
      </w:r>
    </w:p>
    <w:p w:rsidR="0089400D" w:rsidRDefault="007625BD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Sono troppo poche le sezioni specializzate in materia di famiglia e minori, limitate ai tribunali e alle Corti d’Appello più grandi ed è a tale livello, così come sulla specializzazione degli avvocati</w:t>
      </w:r>
      <w:r w:rsidR="0089400D">
        <w:rPr>
          <w:rFonts w:ascii="Bell MT" w:hAnsi="Bell MT"/>
          <w:sz w:val="32"/>
          <w:szCs w:val="32"/>
        </w:rPr>
        <w:t xml:space="preserve"> non ancora realizzata, che dobbiamo continuare a chiedere di intervenire.</w:t>
      </w:r>
    </w:p>
    <w:p w:rsidR="008F3838" w:rsidRDefault="0089400D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Il disegno di legge in discussione invece introduce risposte alle gravi questioni da risolvere tra gli adulti che si separano e tra questi e i loro figli precostituite, </w:t>
      </w:r>
      <w:r w:rsidR="00991194">
        <w:rPr>
          <w:rFonts w:ascii="Bell MT" w:hAnsi="Bell MT"/>
          <w:sz w:val="32"/>
          <w:szCs w:val="32"/>
        </w:rPr>
        <w:t xml:space="preserve">rigide, </w:t>
      </w:r>
      <w:r>
        <w:rPr>
          <w:rFonts w:ascii="Bell MT" w:hAnsi="Bell MT"/>
          <w:sz w:val="32"/>
          <w:szCs w:val="32"/>
        </w:rPr>
        <w:lastRenderedPageBreak/>
        <w:t>che non consentono ai giudici e agli avvocati di intervenire in ragione della specificità di ciascuno, dei tempi di trasformazione degli adulti, dei bisogni diversificati dei minori</w:t>
      </w:r>
      <w:r w:rsidR="008F3838">
        <w:rPr>
          <w:rFonts w:ascii="Bell MT" w:hAnsi="Bell MT"/>
          <w:sz w:val="32"/>
          <w:szCs w:val="32"/>
        </w:rPr>
        <w:t xml:space="preserve">; impone una mediazione prima del giudizio, quando spesso le parti ancora non sono pronte o capaci di affrontare i problemi e necessitano invece di risposte immediate, soprattutto nei casi di violenze </w:t>
      </w:r>
      <w:proofErr w:type="spellStart"/>
      <w:r w:rsidR="008F3838">
        <w:rPr>
          <w:rFonts w:ascii="Bell MT" w:hAnsi="Bell MT"/>
          <w:sz w:val="32"/>
          <w:szCs w:val="32"/>
        </w:rPr>
        <w:t>endofamiliari</w:t>
      </w:r>
      <w:proofErr w:type="spellEnd"/>
      <w:r w:rsidR="008F3838">
        <w:rPr>
          <w:rFonts w:ascii="Bell MT" w:hAnsi="Bell MT"/>
          <w:sz w:val="32"/>
          <w:szCs w:val="32"/>
        </w:rPr>
        <w:t xml:space="preserve">, di sopraffazioni o subalternità psicologiche e/o materiali di un membro della coppia all’altro. Tutti sappiamo di quanto gli invii coatti o anche solo suggeriti in mediazione, senza una reale comprensione e adesione delle parti si siano rivelati fallimentari. </w:t>
      </w:r>
    </w:p>
    <w:p w:rsidR="00303725" w:rsidRDefault="008F3838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Sono pr</w:t>
      </w:r>
      <w:r w:rsidR="00991194">
        <w:rPr>
          <w:rFonts w:ascii="Bell MT" w:hAnsi="Bell MT"/>
          <w:sz w:val="32"/>
          <w:szCs w:val="32"/>
        </w:rPr>
        <w:t>evisti in via generale e impost</w:t>
      </w:r>
      <w:r w:rsidR="00991194" w:rsidRPr="00CC1D72">
        <w:rPr>
          <w:rFonts w:ascii="Bell MT" w:hAnsi="Bell MT"/>
          <w:sz w:val="32"/>
          <w:szCs w:val="32"/>
        </w:rPr>
        <w:t>i</w:t>
      </w:r>
      <w:r>
        <w:rPr>
          <w:rFonts w:ascii="Bell MT" w:hAnsi="Bell MT"/>
          <w:sz w:val="32"/>
          <w:szCs w:val="32"/>
        </w:rPr>
        <w:t xml:space="preserve"> tempi di permanenza dei figli minori presso l’uno e l’altro genitore pressoch</w:t>
      </w:r>
      <w:r w:rsidR="00CC1D72">
        <w:rPr>
          <w:rFonts w:ascii="Bell MT" w:hAnsi="Bell MT"/>
          <w:sz w:val="32"/>
          <w:szCs w:val="32"/>
        </w:rPr>
        <w:t>é</w:t>
      </w:r>
      <w:r>
        <w:rPr>
          <w:rFonts w:ascii="Bell MT" w:hAnsi="Bell MT"/>
          <w:sz w:val="32"/>
          <w:szCs w:val="32"/>
        </w:rPr>
        <w:t xml:space="preserve"> paritari, senza tener conto dell’età dei minori, della qualità della relazione tra questi e ciascun genitore, della condizione lavorativa, abi</w:t>
      </w:r>
      <w:r w:rsidR="00303725">
        <w:rPr>
          <w:rFonts w:ascii="Bell MT" w:hAnsi="Bell MT"/>
          <w:sz w:val="32"/>
          <w:szCs w:val="32"/>
        </w:rPr>
        <w:t>tativa e personale degli adulti di riferimento</w:t>
      </w:r>
      <w:r>
        <w:rPr>
          <w:rFonts w:ascii="Bell MT" w:hAnsi="Bell MT"/>
          <w:sz w:val="32"/>
          <w:szCs w:val="32"/>
        </w:rPr>
        <w:t>; v</w:t>
      </w:r>
      <w:r w:rsidR="00991194">
        <w:rPr>
          <w:rFonts w:ascii="Bell MT" w:hAnsi="Bell MT"/>
          <w:sz w:val="32"/>
          <w:szCs w:val="32"/>
        </w:rPr>
        <w:t>iene esclus</w:t>
      </w:r>
      <w:r w:rsidR="00991194" w:rsidRPr="00CC1D72">
        <w:rPr>
          <w:rFonts w:ascii="Bell MT" w:hAnsi="Bell MT"/>
          <w:sz w:val="32"/>
          <w:szCs w:val="32"/>
        </w:rPr>
        <w:t>o</w:t>
      </w:r>
      <w:r>
        <w:rPr>
          <w:rFonts w:ascii="Bell MT" w:hAnsi="Bell MT"/>
          <w:sz w:val="32"/>
          <w:szCs w:val="32"/>
        </w:rPr>
        <w:t xml:space="preserve"> in via generale ed astratta il contributo economico indiretto da parte del genitore più abbiente in favore dell’altro genitore privo di </w:t>
      </w:r>
      <w:r w:rsidR="00303725">
        <w:rPr>
          <w:rFonts w:ascii="Bell MT" w:hAnsi="Bell MT"/>
          <w:sz w:val="32"/>
          <w:szCs w:val="32"/>
        </w:rPr>
        <w:t>sostanze economiche adeguate a</w:t>
      </w:r>
      <w:r>
        <w:rPr>
          <w:rFonts w:ascii="Bell MT" w:hAnsi="Bell MT"/>
          <w:sz w:val="32"/>
          <w:szCs w:val="32"/>
        </w:rPr>
        <w:t xml:space="preserve"> garantire ai figli condizioni di vita dignitose</w:t>
      </w:r>
      <w:r w:rsidR="00303725">
        <w:rPr>
          <w:rFonts w:ascii="Bell MT" w:hAnsi="Bell MT"/>
          <w:sz w:val="32"/>
          <w:szCs w:val="32"/>
        </w:rPr>
        <w:t>; si stabiliscono regole rigide per la risoluzione dei casi, per fortuna pochi se ben trattati, di difficoltà relazionali tra un minore e un genitore, come se si potesse prescindere da accurate valutazioni caso per caso e dalla necessità di individuare gli interventi più opportuni per accompagnare il cambiamento, senza creare ulteriori distanze  e radicalizzazioni</w:t>
      </w:r>
      <w:r>
        <w:rPr>
          <w:rFonts w:ascii="Bell MT" w:hAnsi="Bell MT"/>
          <w:sz w:val="32"/>
          <w:szCs w:val="32"/>
        </w:rPr>
        <w:t xml:space="preserve"> </w:t>
      </w:r>
      <w:r w:rsidR="00303725">
        <w:rPr>
          <w:rFonts w:ascii="Bell MT" w:hAnsi="Bell MT"/>
          <w:sz w:val="32"/>
          <w:szCs w:val="32"/>
        </w:rPr>
        <w:t>soprattutto da p</w:t>
      </w:r>
      <w:r w:rsidR="00991194">
        <w:rPr>
          <w:rFonts w:ascii="Bell MT" w:hAnsi="Bell MT"/>
          <w:sz w:val="32"/>
          <w:szCs w:val="32"/>
        </w:rPr>
        <w:t>arte dei minori adolescenti ta</w:t>
      </w:r>
      <w:r w:rsidR="00991194" w:rsidRPr="00CC1D72">
        <w:rPr>
          <w:rFonts w:ascii="Bell MT" w:hAnsi="Bell MT"/>
          <w:sz w:val="32"/>
          <w:szCs w:val="32"/>
        </w:rPr>
        <w:t>li</w:t>
      </w:r>
      <w:r w:rsidR="00303725" w:rsidRPr="00CC1D72">
        <w:rPr>
          <w:rFonts w:ascii="Bell MT" w:hAnsi="Bell MT"/>
          <w:sz w:val="32"/>
          <w:szCs w:val="32"/>
        </w:rPr>
        <w:t xml:space="preserve"> </w:t>
      </w:r>
      <w:r w:rsidR="00303725">
        <w:rPr>
          <w:rFonts w:ascii="Bell MT" w:hAnsi="Bell MT"/>
          <w:sz w:val="32"/>
          <w:szCs w:val="32"/>
        </w:rPr>
        <w:t xml:space="preserve">da rendere poi impossibile una ripresa dei rapporti con il genitore non convivente. </w:t>
      </w:r>
    </w:p>
    <w:p w:rsidR="00303725" w:rsidRDefault="00303725" w:rsidP="00D507EB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L’intero impianto del disegno di legge appare prescindere dall’accettazione e dalla necessità di lavorare sulla complessità delle relazioni tra le persone; nega il valore della solidarietà, della vicinanza e dell’ascolto nel momento di maggiore difficoltà della vita delle persone, impone una radicalizzazione dei diritti di ciascuno che finisce col rafforzare soltanto i diritti dei soggetti più forti all’interno della famiglia, sia a livello psicologico sia a livello materiale. </w:t>
      </w:r>
    </w:p>
    <w:p w:rsidR="007131A4" w:rsidRPr="00350B4E" w:rsidRDefault="003512B6" w:rsidP="003512B6">
      <w:pPr>
        <w:spacing w:line="240" w:lineRule="auto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Per tutto questo e anche per molto altro su cui non possiamo dilungarci, riteniamo che il DDL 635 debba essere ritirato e non soltanto emendato. </w:t>
      </w:r>
    </w:p>
    <w:p w:rsidR="0006672F" w:rsidRPr="00350B4E" w:rsidRDefault="0006672F" w:rsidP="0006672F">
      <w:pPr>
        <w:spacing w:line="240" w:lineRule="auto"/>
        <w:jc w:val="both"/>
        <w:rPr>
          <w:rFonts w:ascii="Bell MT" w:hAnsi="Bell MT"/>
          <w:sz w:val="32"/>
          <w:szCs w:val="32"/>
        </w:rPr>
      </w:pPr>
    </w:p>
    <w:p w:rsidR="0006672F" w:rsidRPr="00350B4E" w:rsidRDefault="0006672F" w:rsidP="0006672F">
      <w:pPr>
        <w:spacing w:line="240" w:lineRule="auto"/>
        <w:jc w:val="both"/>
        <w:rPr>
          <w:rFonts w:ascii="Bell MT" w:hAnsi="Bell MT"/>
          <w:sz w:val="32"/>
          <w:szCs w:val="32"/>
        </w:rPr>
      </w:pPr>
      <w:bookmarkStart w:id="0" w:name="_GoBack"/>
      <w:bookmarkEnd w:id="0"/>
    </w:p>
    <w:sectPr w:rsidR="0006672F" w:rsidRPr="00350B4E" w:rsidSect="003512B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97" w:rsidRDefault="00D33497" w:rsidP="006B1571">
      <w:pPr>
        <w:spacing w:after="0" w:line="240" w:lineRule="auto"/>
      </w:pPr>
      <w:r>
        <w:separator/>
      </w:r>
    </w:p>
  </w:endnote>
  <w:endnote w:type="continuationSeparator" w:id="0">
    <w:p w:rsidR="00D33497" w:rsidRDefault="00D33497" w:rsidP="006B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97" w:rsidRDefault="00D33497" w:rsidP="006B1571">
      <w:pPr>
        <w:spacing w:after="0" w:line="240" w:lineRule="auto"/>
      </w:pPr>
      <w:r>
        <w:separator/>
      </w:r>
    </w:p>
  </w:footnote>
  <w:footnote w:type="continuationSeparator" w:id="0">
    <w:p w:rsidR="00D33497" w:rsidRDefault="00D33497" w:rsidP="006B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6E" w:rsidRDefault="000E796E">
    <w:pPr>
      <w:pStyle w:val="Intestazione"/>
    </w:pPr>
  </w:p>
  <w:p w:rsidR="006B1571" w:rsidRDefault="006B15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683"/>
    <w:multiLevelType w:val="hybridMultilevel"/>
    <w:tmpl w:val="EADECDC0"/>
    <w:lvl w:ilvl="0" w:tplc="D8BE8AE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DEE"/>
    <w:multiLevelType w:val="hybridMultilevel"/>
    <w:tmpl w:val="20047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007A"/>
    <w:multiLevelType w:val="hybridMultilevel"/>
    <w:tmpl w:val="A184D654"/>
    <w:lvl w:ilvl="0" w:tplc="60AAB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3B42"/>
    <w:multiLevelType w:val="hybridMultilevel"/>
    <w:tmpl w:val="30386276"/>
    <w:lvl w:ilvl="0" w:tplc="E4B6B8F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4D7E"/>
    <w:multiLevelType w:val="hybridMultilevel"/>
    <w:tmpl w:val="C0622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3066F3D-523B-4D9F-910E-036776D162BF}"/>
    <w:docVar w:name="dgnword-eventsink" w:val="437714784"/>
  </w:docVars>
  <w:rsids>
    <w:rsidRoot w:val="00576A52"/>
    <w:rsid w:val="00007E3C"/>
    <w:rsid w:val="00041911"/>
    <w:rsid w:val="0006672F"/>
    <w:rsid w:val="00094512"/>
    <w:rsid w:val="000C6D8D"/>
    <w:rsid w:val="000E796E"/>
    <w:rsid w:val="0017760A"/>
    <w:rsid w:val="00243AB4"/>
    <w:rsid w:val="00243E31"/>
    <w:rsid w:val="00257A0E"/>
    <w:rsid w:val="00303725"/>
    <w:rsid w:val="00313D19"/>
    <w:rsid w:val="00316634"/>
    <w:rsid w:val="00344316"/>
    <w:rsid w:val="00350B4E"/>
    <w:rsid w:val="003512B6"/>
    <w:rsid w:val="004255EC"/>
    <w:rsid w:val="0042774D"/>
    <w:rsid w:val="004634AE"/>
    <w:rsid w:val="00485B68"/>
    <w:rsid w:val="004B3A53"/>
    <w:rsid w:val="004D761A"/>
    <w:rsid w:val="00576A52"/>
    <w:rsid w:val="006571C8"/>
    <w:rsid w:val="00694C32"/>
    <w:rsid w:val="006B1571"/>
    <w:rsid w:val="006E15DB"/>
    <w:rsid w:val="006F591B"/>
    <w:rsid w:val="007131A4"/>
    <w:rsid w:val="007625BD"/>
    <w:rsid w:val="007A0CA6"/>
    <w:rsid w:val="0089400D"/>
    <w:rsid w:val="008B3936"/>
    <w:rsid w:val="008C4888"/>
    <w:rsid w:val="008D0497"/>
    <w:rsid w:val="008D5590"/>
    <w:rsid w:val="008F3838"/>
    <w:rsid w:val="009073BA"/>
    <w:rsid w:val="009227FB"/>
    <w:rsid w:val="00962719"/>
    <w:rsid w:val="00990649"/>
    <w:rsid w:val="00991194"/>
    <w:rsid w:val="009C66F0"/>
    <w:rsid w:val="00A41A80"/>
    <w:rsid w:val="00AA0C48"/>
    <w:rsid w:val="00B13D81"/>
    <w:rsid w:val="00B14318"/>
    <w:rsid w:val="00B412F1"/>
    <w:rsid w:val="00BB2DC1"/>
    <w:rsid w:val="00C00B1E"/>
    <w:rsid w:val="00C671C6"/>
    <w:rsid w:val="00CC1D72"/>
    <w:rsid w:val="00D250EE"/>
    <w:rsid w:val="00D33497"/>
    <w:rsid w:val="00D507EB"/>
    <w:rsid w:val="00DD03AF"/>
    <w:rsid w:val="00E20FB4"/>
    <w:rsid w:val="00EA1273"/>
    <w:rsid w:val="00EA7648"/>
    <w:rsid w:val="00EB1ED6"/>
    <w:rsid w:val="00EE364A"/>
    <w:rsid w:val="00F35BCF"/>
    <w:rsid w:val="00F462DF"/>
    <w:rsid w:val="00F63580"/>
    <w:rsid w:val="00FA564D"/>
    <w:rsid w:val="00FA6945"/>
    <w:rsid w:val="00FE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17F0A-4A70-4CB0-9260-718478F1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6A5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1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571"/>
  </w:style>
  <w:style w:type="paragraph" w:styleId="Pidipagina">
    <w:name w:val="footer"/>
    <w:basedOn w:val="Normale"/>
    <w:link w:val="PidipaginaCarattere"/>
    <w:uiPriority w:val="99"/>
    <w:semiHidden/>
    <w:unhideWhenUsed/>
    <w:rsid w:val="006B1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5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debora ravenna</cp:lastModifiedBy>
  <cp:revision>3</cp:revision>
  <cp:lastPrinted>2019-05-31T08:02:00Z</cp:lastPrinted>
  <dcterms:created xsi:type="dcterms:W3CDTF">2019-05-31T08:04:00Z</dcterms:created>
  <dcterms:modified xsi:type="dcterms:W3CDTF">2019-05-31T08:04:00Z</dcterms:modified>
</cp:coreProperties>
</file>