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color w:val="000000" w:themeColor="text1"/>
        </w:rPr>
      </w:pPr>
      <w:r>
        <w:rPr>
          <w:b/>
          <w:color w:val="000000" w:themeColor="text1"/>
        </w:rPr>
        <w:tab/>
        <w:t>GIUSTIZIA E PROTEZIONE INTERNAZIONALE a cura degli Osservatori di Firenze, Catania, Torino e Reggio Calabria</w:t>
      </w:r>
    </w:p>
    <w:p>
      <w:pPr>
        <w:pStyle w:val="Normal"/>
        <w:jc w:val="both"/>
        <w:rPr>
          <w:b/>
          <w:b/>
          <w:i/>
          <w:i/>
          <w:color w:val="000000" w:themeColor="text1"/>
        </w:rPr>
      </w:pPr>
      <w:r>
        <w:rPr>
          <w:b/>
          <w:i/>
          <w:color w:val="000000" w:themeColor="text1"/>
        </w:rPr>
      </w:r>
    </w:p>
    <w:tbl>
      <w:tblPr>
        <w:tblStyle w:val="Grigliatabella"/>
        <w:tblW w:w="14460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44"/>
        <w:gridCol w:w="6451"/>
        <w:gridCol w:w="3006"/>
        <w:gridCol w:w="2559"/>
      </w:tblGrid>
      <w:tr>
        <w:trPr/>
        <w:tc>
          <w:tcPr>
            <w:tcW w:w="24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4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Problematiche</w:t>
            </w:r>
          </w:p>
        </w:tc>
        <w:tc>
          <w:tcPr>
            <w:tcW w:w="300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Prassi in atto</w:t>
            </w:r>
          </w:p>
        </w:tc>
        <w:tc>
          <w:tcPr>
            <w:tcW w:w="25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proposte</w:t>
            </w:r>
          </w:p>
        </w:tc>
      </w:tr>
      <w:tr>
        <w:trPr/>
        <w:tc>
          <w:tcPr>
            <w:tcW w:w="24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i/>
                <w:color w:val="000000" w:themeColor="text1"/>
              </w:rPr>
              <w:t>udienza e audizione</w:t>
            </w:r>
          </w:p>
        </w:tc>
        <w:tc>
          <w:tcPr>
            <w:tcW w:w="6451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/>
            </w:pPr>
            <w:r>
              <w:rPr/>
              <w:t>Audizione - Giudizio di credibilità interna ed esterna.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/>
            </w:pPr>
            <w:r>
              <w:rPr/>
              <w:t>Difficoltà ad ottenere l’audizione in alcuni Tribunali.</w:t>
            </w:r>
          </w:p>
          <w:p>
            <w:pPr>
              <w:pStyle w:val="ListParagraph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00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4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i/>
                <w:color w:val="000000" w:themeColor="text1"/>
              </w:rPr>
              <w:t>profili costituzionali</w:t>
            </w:r>
          </w:p>
        </w:tc>
        <w:tc>
          <w:tcPr>
            <w:tcW w:w="6451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/>
            </w:pPr>
            <w:r>
              <w:rPr/>
              <w:t xml:space="preserve">Ingerenza nell’esercizio del diritto al rispetto della vita privata e familiare protetto dall’articolo 8 par. 1 della CEDU.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/>
            </w:pPr>
            <w:r>
              <w:rPr/>
              <w:t>Rispetto dei trattati internazionali</w:t>
            </w:r>
          </w:p>
        </w:tc>
        <w:tc>
          <w:tcPr>
            <w:tcW w:w="300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4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i/>
                <w:color w:val="000000" w:themeColor="text1"/>
              </w:rPr>
              <w:t>asilo costituzionale art. 10 Cost</w:t>
            </w:r>
          </w:p>
        </w:tc>
        <w:tc>
          <w:tcPr>
            <w:tcW w:w="6451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/>
            </w:pPr>
            <w:r>
              <w:rPr/>
              <w:t xml:space="preserve">Evoluzione giurisprudenziale dagli anni 90 ad oggi. Nuove prospettive dopo il c.d. Decreto Sicurezza.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/>
            </w:pPr>
            <w:r>
              <w:rPr/>
              <w:t xml:space="preserve">Questioni procedurali .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/>
            </w:pPr>
            <w:r>
              <w:rPr>
                <w:color w:val="000000"/>
              </w:rPr>
              <w:t>Richiesta dell’asilo costituzionale ex art. 10 cost. come procedimento a se stante;</w:t>
            </w:r>
          </w:p>
        </w:tc>
        <w:tc>
          <w:tcPr>
            <w:tcW w:w="300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4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i/>
                <w:color w:val="000000" w:themeColor="text1"/>
              </w:rPr>
              <w:t xml:space="preserve">diniego </w:t>
            </w:r>
            <w:r>
              <w:rPr>
                <w:b/>
                <w:i/>
                <w:color w:val="000000" w:themeColor="text1"/>
              </w:rPr>
              <w:t xml:space="preserve">del </w:t>
            </w:r>
            <w:r>
              <w:rPr>
                <w:b/>
                <w:i/>
                <w:color w:val="000000" w:themeColor="text1"/>
              </w:rPr>
              <w:t xml:space="preserve">rinnovo </w:t>
            </w:r>
            <w:r>
              <w:rPr>
                <w:b/>
                <w:i/>
                <w:color w:val="000000" w:themeColor="text1"/>
              </w:rPr>
              <w:t>del</w:t>
            </w:r>
            <w:r>
              <w:rPr>
                <w:b/>
                <w:i/>
                <w:color w:val="000000" w:themeColor="text1"/>
              </w:rPr>
              <w:t xml:space="preserve"> permesso</w:t>
            </w:r>
          </w:p>
        </w:tc>
        <w:tc>
          <w:tcPr>
            <w:tcW w:w="6451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iCs/>
              </w:rPr>
              <w:t xml:space="preserve">Regime intertemporale della nuova disciplina della protezione umanitaria.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iCs/>
              </w:rPr>
              <w:t xml:space="preserve">Convertibilità dei permessi.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iCs/>
              </w:rPr>
              <w:t>Prassi applicative difformi nelle Questure (vedi per es. “caso Questura di Roma” sui mancati rinnovi di permessi di soggiorno a titolari di protezione internazionale che utilizzano la c.d. residenza fittizia, sulla base di una circolare);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Problematiche relative alla conversione del permesso di soggiorno per “protezione speciale”;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 xml:space="preserve">Problematiche relative alla conversione del permesso di soggiorno per “casi speciali”.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Prassi diverse tra le Questure</w:t>
            </w:r>
          </w:p>
        </w:tc>
        <w:tc>
          <w:tcPr>
            <w:tcW w:w="300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4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i/>
                <w:color w:val="000000" w:themeColor="text1"/>
              </w:rPr>
              <w:t>minori divenuti maggiorenni</w:t>
            </w:r>
          </w:p>
        </w:tc>
        <w:tc>
          <w:tcPr>
            <w:tcW w:w="6451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/>
            </w:pPr>
            <w:r>
              <w:rPr/>
              <w:t>Tutela legale del minore straniero non accompagnato;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/>
            </w:pPr>
            <w:r>
              <w:rPr/>
              <w:t xml:space="preserve">forme di discriminazione e persecuzione specifiche verso i minori; 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/>
            </w:pPr>
            <w:r>
              <w:rPr/>
              <w:t>Diniego del P</w:t>
            </w:r>
            <w:r>
              <w:rPr/>
              <w:t>d</w:t>
            </w:r>
            <w:r>
              <w:rPr/>
              <w:t xml:space="preserve">S ai neomaggiorenni a seguito del rigetto della domanda di protezione. </w:t>
            </w:r>
          </w:p>
          <w:tbl>
            <w:tblPr>
              <w:tblW w:w="5699" w:type="dxa"/>
              <w:jc w:val="left"/>
              <w:tblInd w:w="0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5699"/>
            </w:tblGrid>
            <w:tr>
              <w:trPr>
                <w:trHeight w:val="266" w:hRule="atLeast"/>
              </w:trPr>
              <w:tc>
                <w:tcPr>
                  <w:tcW w:w="5699" w:type="dxa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/>
                  </w:pPr>
                  <w:r>
                    <w:rPr/>
                    <w:t xml:space="preserve">Conseguenze dell’abrogazione del permesso per “motivi umanitari” sui minori stranieri non accompagnati. </w:t>
                  </w:r>
                </w:p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Conversione del PDS casi speciali in motivi di studio: difficoltà del neomaggiorenne nel regolarizzare la sua posizione sul territorio italiano.</w:t>
                  </w:r>
                </w:p>
                <w:p>
                  <w:pPr>
                    <w:pStyle w:val="ListParagraph"/>
                    <w:spacing w:lineRule="auto" w:line="240" w:before="0" w:after="0"/>
                    <w:contextualSpacing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ListParagraph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i/>
                <w:color w:val="000000" w:themeColor="text1"/>
              </w:rPr>
              <w:t>organico sez specializzate</w:t>
            </w:r>
          </w:p>
        </w:tc>
        <w:tc>
          <w:tcPr>
            <w:tcW w:w="6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i/>
                <w:color w:val="000000" w:themeColor="text1"/>
              </w:rPr>
              <w:t>istanze probatorie</w:t>
            </w:r>
          </w:p>
        </w:tc>
        <w:tc>
          <w:tcPr>
            <w:tcW w:w="6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  <w:t xml:space="preserve">Identificazione dei minori stranieri non accompagnati ed accertamento dell’età anagrafica ad opera della </w:t>
            </w:r>
            <w:r>
              <w:rPr>
                <w:u w:val="single"/>
              </w:rPr>
              <w:t>sola</w:t>
            </w:r>
            <w:r>
              <w:rPr/>
              <w:t xml:space="preserve"> Autorità di P.S.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  <w:t xml:space="preserve">Accertamento età anagrafica sul solo esame radiografico. Importanza dell’accertamento </w:t>
            </w:r>
            <w:r>
              <w:rPr>
                <w:color w:val="000000"/>
              </w:rPr>
              <w:t xml:space="preserve">multidisciplinare.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>
                <w:color w:val="000000"/>
              </w:rPr>
              <w:t xml:space="preserve">Richiesta di prova testimoniale all’interno del ricorso ex art. </w:t>
            </w:r>
            <w:r>
              <w:rPr>
                <w:color w:val="000000"/>
              </w:rPr>
              <w:t>35bis.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Autorizzazione alla nomina di CTU/medico legale all’interno della procedura ex art. 737 c.p.c.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i/>
                <w:color w:val="000000" w:themeColor="text1"/>
              </w:rPr>
              <w:t>patrocinio a spese dello Stato</w:t>
            </w:r>
          </w:p>
        </w:tc>
        <w:tc>
          <w:tcPr>
            <w:tcW w:w="6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rPr/>
            </w:pPr>
            <w:r>
              <w:rPr/>
              <w:t xml:space="preserve">Diversità </w:t>
            </w:r>
            <w:bookmarkStart w:id="0" w:name="_GoBack"/>
            <w:bookmarkEnd w:id="0"/>
            <w:r>
              <w:rPr/>
              <w:t xml:space="preserve">di prassi tra i vari COA: difficoltà ammissione </w:t>
            </w:r>
            <w:r>
              <w:rPr/>
              <w:t xml:space="preserve">o </w:t>
            </w:r>
            <w:r>
              <w:rPr/>
              <w:t>rigetto per infondatezza del ricorso.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rPr/>
            </w:pPr>
            <w:r>
              <w:rPr/>
              <w:t>Revoca automatica del patrocinio in caso di rigetto del ricorso.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>Protocollo sui compensi;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i/>
                <w:color w:val="000000" w:themeColor="text1"/>
              </w:rPr>
              <w:t>ausiliari giudice</w:t>
            </w:r>
          </w:p>
        </w:tc>
        <w:tc>
          <w:tcPr>
            <w:tcW w:w="6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hd w:fill="FFFFFF" w:val="clear"/>
              </w:rPr>
              <w:t> </w:t>
            </w:r>
            <w:r>
              <w:rPr>
                <w:color w:val="000000"/>
                <w:shd w:fill="FFFFFF" w:val="clear"/>
              </w:rPr>
              <w:t xml:space="preserve">Apporto  di altri operatori  specializzati quali antropologi, etno-psichiatri, linguisti, sociologi e soprattutto interpreti e mediatori. 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rPr/>
            </w:pPr>
            <w:r>
              <w:rPr>
                <w:color w:val="000000"/>
                <w:shd w:fill="FFFFFF" w:val="clear"/>
              </w:rPr>
              <w:t>Nomina del mediatore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rPr/>
            </w:pPr>
            <w:r>
              <w:rPr>
                <w:color w:val="000000"/>
                <w:highlight w:val="white"/>
              </w:rPr>
              <w:t>ufficio del processo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i/>
                <w:color w:val="000000" w:themeColor="text1"/>
              </w:rPr>
              <w:t>modelli di ricorso</w:t>
            </w:r>
          </w:p>
        </w:tc>
        <w:tc>
          <w:tcPr>
            <w:tcW w:w="6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417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1ac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5407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991a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LibreOffice/5.3.6.1$Windows_x86 LibreOffice_project/686f202eff87ef707079aeb7f485847613344eb7</Application>
  <Pages>2</Pages>
  <Words>380</Words>
  <Characters>2329</Characters>
  <CharactersWithSpaces>2656</CharactersWithSpaces>
  <Paragraphs>42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2019-05-24T14:53:00Z</dcterms:created>
  <dc:creator>HP</dc:creator>
  <dc:description/>
  <dc:language>it-IT</dc:language>
  <cp:lastModifiedBy/>
  <dcterms:modified xsi:type="dcterms:W3CDTF">2019-05-28T12:53:56Z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