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ab/>
        <w:t>GIUSTIZIA E PROTEZIONE INTERNAZIONALE a cura degli Osservatori di Firenze, Catania, Torino e Reggio Calabria</w:t>
      </w:r>
    </w:p>
    <w:p>
      <w:pPr>
        <w:pStyle w:val="Normal"/>
        <w:jc w:val="both"/>
        <w:rPr>
          <w:b/>
          <w:b/>
          <w:i/>
          <w:i/>
          <w:color w:val="000000" w:themeColor="text1"/>
        </w:rPr>
      </w:pPr>
      <w:r>
        <w:rPr>
          <w:b/>
          <w:i/>
          <w:color w:val="000000" w:themeColor="text1"/>
        </w:rPr>
      </w:r>
    </w:p>
    <w:tbl>
      <w:tblPr>
        <w:tblStyle w:val="Grigliatabella"/>
        <w:tblW w:w="1446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4"/>
        <w:gridCol w:w="6451"/>
        <w:gridCol w:w="3006"/>
        <w:gridCol w:w="2559"/>
      </w:tblGrid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Problematiche</w:t>
            </w:r>
          </w:p>
        </w:tc>
        <w:tc>
          <w:tcPr>
            <w:tcW w:w="3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Prassi in atto</w:t>
            </w:r>
          </w:p>
        </w:tc>
        <w:tc>
          <w:tcPr>
            <w:tcW w:w="2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proposte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udienza e audizione</w:t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Audizione - Giudizio di credibilità interna ed esterna.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Difficoltà ad ottenere l’audizione in alcuni Tribunali.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profili costituzionali</w:t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Ingerenza nell’esercizio del diritto al rispetto della vita privata e familiare protetto dall’articolo 8 par. 1 della CEDU.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Rispetto dei trattati internazionali</w:t>
            </w:r>
          </w:p>
        </w:tc>
        <w:tc>
          <w:tcPr>
            <w:tcW w:w="3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asilo costituzionale art. 10 Cost</w:t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Evoluzione giurisprudenziale dagli anni 90 ad oggi. Nuove prospettive dopo il c.d. Decreto Sicurezza.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Questioni procedurali 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color w:val="000000"/>
              </w:rPr>
              <w:t>Richiesta dell’asilo costituzionale ex art. 10 cost. come procedimento a se stante;</w:t>
            </w:r>
          </w:p>
        </w:tc>
        <w:tc>
          <w:tcPr>
            <w:tcW w:w="3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 xml:space="preserve">diniego </w:t>
            </w:r>
            <w:r>
              <w:rPr>
                <w:b/>
                <w:i/>
                <w:color w:val="000000" w:themeColor="text1"/>
              </w:rPr>
              <w:t xml:space="preserve">del </w:t>
            </w:r>
            <w:r>
              <w:rPr>
                <w:b/>
                <w:i/>
                <w:color w:val="000000" w:themeColor="text1"/>
              </w:rPr>
              <w:t xml:space="preserve">rinnovo </w:t>
            </w:r>
            <w:r>
              <w:rPr>
                <w:b/>
                <w:i/>
                <w:color w:val="000000" w:themeColor="text1"/>
              </w:rPr>
              <w:t>del</w:t>
            </w:r>
            <w:r>
              <w:rPr>
                <w:b/>
                <w:i/>
                <w:color w:val="000000" w:themeColor="text1"/>
              </w:rPr>
              <w:t xml:space="preserve"> permesso</w:t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iCs/>
              </w:rPr>
              <w:t xml:space="preserve">Regime intertemporale della nuova disciplina della protezione umanitaria.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iCs/>
              </w:rPr>
              <w:t xml:space="preserve">Convertibilità dei permessi.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iCs/>
              </w:rPr>
              <w:t>Prassi applicative difformi nelle Questure (vedi per es. “caso Questura di Roma” sui mancati rinnovi di permessi di soggiorno a titolari di protezione internazionale che utilizzano la c.d. residenza fittizia, sulla base di una circolare);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Problematiche relative alla conversione del permesso di soggiorno per “protezione speciale”;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Problematiche relative alla conversione del permesso di soggiorno per “casi speciali”.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Prassi diverse tra le Questure</w:t>
            </w:r>
          </w:p>
        </w:tc>
        <w:tc>
          <w:tcPr>
            <w:tcW w:w="3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minori divenuti maggiorenni</w:t>
            </w:r>
          </w:p>
        </w:tc>
        <w:tc>
          <w:tcPr>
            <w:tcW w:w="645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Tutela legale del minore straniero non accompagnato;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forme di discriminazione e persecuzione specifiche verso i minori;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Diniego del P</w:t>
            </w:r>
            <w:r>
              <w:rPr/>
              <w:t>d</w:t>
            </w:r>
            <w:r>
              <w:rPr/>
              <w:t xml:space="preserve">S ai neomaggiorenni a seguito del rigetto della domanda di protezione. </w:t>
            </w:r>
          </w:p>
          <w:tbl>
            <w:tblPr>
              <w:tblW w:w="569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99"/>
            </w:tblGrid>
            <w:tr>
              <w:trPr>
                <w:trHeight w:val="266" w:hRule="atLeast"/>
              </w:trPr>
              <w:tc>
                <w:tcPr>
                  <w:tcW w:w="5699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uto" w:line="240" w:before="0" w:after="0"/>
                    <w:contextualSpacing/>
                    <w:rPr/>
                  </w:pPr>
                  <w:r>
                    <w:rPr/>
                    <w:t xml:space="preserve">Conseguenze dell’abrogazione del permesso per “motivi umanitari” sui minori stranieri non accompagnati. 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uto" w:line="240" w:before="0" w:after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Conversione del PDS casi speciali in motivi di studio: difficoltà del neomaggiorenne nel regolarizzare la sua posizione sul territorio italiano.</w:t>
                  </w:r>
                </w:p>
                <w:p>
                  <w:pPr>
                    <w:pStyle w:val="ListParagraph"/>
                    <w:spacing w:lineRule="auto" w:line="240" w:before="0" w:after="0"/>
                    <w:contextualSpacing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organico sez specializzate</w:t>
            </w:r>
          </w:p>
        </w:tc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istanze probatorie</w:t>
            </w:r>
          </w:p>
        </w:tc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 xml:space="preserve">Identificazione dei minori stranieri non accompagnati ed accertamento dell’età anagrafica ad opera della </w:t>
            </w:r>
            <w:r>
              <w:rPr>
                <w:u w:val="single"/>
              </w:rPr>
              <w:t>sola</w:t>
            </w:r>
            <w:r>
              <w:rPr/>
              <w:t xml:space="preserve"> Autorità di P.S.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 xml:space="preserve">Accertamento età anagrafica sul solo esame radiografico. Importanza dell’accertamento </w:t>
            </w:r>
            <w:r>
              <w:rPr>
                <w:color w:val="000000"/>
              </w:rPr>
              <w:t xml:space="preserve">multidisciplinare.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color w:val="000000"/>
              </w:rPr>
              <w:t xml:space="preserve">Richiesta di prova testimoniale all’interno del ricorso ex art. </w:t>
            </w:r>
            <w:r>
              <w:rPr>
                <w:color w:val="000000"/>
              </w:rPr>
              <w:t>35bis.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Autorizzazione alla nomina di CTU/medico legale all’interno della procedura ex art. 737 c.p.c.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patrocinio a spese dello Stato</w:t>
            </w:r>
          </w:p>
        </w:tc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/>
            </w:pPr>
            <w:r>
              <w:rPr/>
              <w:t xml:space="preserve">Diversità </w:t>
            </w:r>
            <w:bookmarkStart w:id="0" w:name="_GoBack"/>
            <w:bookmarkEnd w:id="0"/>
            <w:r>
              <w:rPr/>
              <w:t xml:space="preserve">di prassi tra i vari COA: difficoltà ammissione </w:t>
            </w:r>
            <w:r>
              <w:rPr/>
              <w:t xml:space="preserve">o </w:t>
            </w:r>
            <w:r>
              <w:rPr/>
              <w:t>rigetto per infondatezza del ricorso.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/>
            </w:pPr>
            <w:r>
              <w:rPr/>
              <w:t>Revoca automatica del patrocinio in caso di rigetto del ricorso.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Protocollo sui compensi;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ausiliari giudice</w:t>
            </w:r>
          </w:p>
        </w:tc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 xml:space="preserve">Apporto  di altri operatori  specializzati quali antropologi, etno-psichiatri, linguisti, sociologi e soprattutto interpreti e mediatori.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/>
            </w:pPr>
            <w:r>
              <w:rPr>
                <w:color w:val="000000"/>
                <w:shd w:fill="FFFFFF" w:val="clear"/>
              </w:rPr>
              <w:t>Nomina del mediatore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/>
            </w:pPr>
            <w:r>
              <w:rPr>
                <w:color w:val="000000"/>
                <w:highlight w:val="white"/>
              </w:rPr>
              <w:t>ufficio del processo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color w:val="000000" w:themeColor="text1"/>
              </w:rPr>
              <w:t>modelli di ricorso</w:t>
            </w:r>
          </w:p>
        </w:tc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a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40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91a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LibreOffice/5.3.6.1$Windows_x86 LibreOffice_project/686f202eff87ef707079aeb7f485847613344eb7</Application>
  <Pages>2</Pages>
  <Words>380</Words>
  <Characters>2329</Characters>
  <CharactersWithSpaces>2656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2019-05-24T14:53:00Z</dcterms:created>
  <dc:creator>HP</dc:creator>
  <dc:description/>
  <dc:language>it-IT</dc:language>
  <cp:lastModifiedBy/>
  <dcterms:modified xsi:type="dcterms:W3CDTF">2019-05-28T12:53:56Z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